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614A7E" w14:textId="77777777" w:rsidR="00575434" w:rsidRDefault="00575434">
      <w:pPr>
        <w:jc w:val="center"/>
        <w:rPr>
          <w:rFonts w:ascii="Verdana" w:eastAsia="Verdana" w:hAnsi="Verdana" w:cs="Verdana"/>
          <w:b/>
          <w:bCs/>
        </w:rPr>
      </w:pPr>
    </w:p>
    <w:p w14:paraId="1F738EA1" w14:textId="080D28A3" w:rsidR="00575434" w:rsidRDefault="00AD5BDF">
      <w:pPr>
        <w:jc w:val="center"/>
        <w:rPr>
          <w:rFonts w:ascii="Verdana" w:eastAsia="Verdana" w:hAnsi="Verdana" w:cs="Verdana"/>
          <w:b/>
          <w:bCs/>
        </w:rPr>
      </w:pPr>
      <w:r>
        <w:rPr>
          <w:rFonts w:ascii="Verdana" w:eastAsia="Verdana" w:hAnsi="Verdana" w:cs="Verdana"/>
          <w:b/>
          <w:bCs/>
        </w:rPr>
        <w:t xml:space="preserve">Economia </w:t>
      </w:r>
      <w:r w:rsidRPr="00D02886">
        <w:rPr>
          <w:rFonts w:ascii="Verdana" w:eastAsia="Verdana" w:hAnsi="Verdana" w:cs="Verdana"/>
          <w:b/>
          <w:bCs/>
        </w:rPr>
        <w:t>Monetária I</w:t>
      </w:r>
      <w:r w:rsidR="000F170C" w:rsidRPr="00D02886">
        <w:rPr>
          <w:rFonts w:ascii="Verdana" w:eastAsia="Verdana" w:hAnsi="Verdana" w:cs="Verdana"/>
          <w:b/>
          <w:bCs/>
        </w:rPr>
        <w:t xml:space="preserve"> (</w:t>
      </w:r>
      <w:r w:rsidR="000F170C" w:rsidRPr="00D02886">
        <w:rPr>
          <w:b/>
          <w:bCs/>
          <w:color w:val="222222"/>
          <w:shd w:val="clear" w:color="auto" w:fill="FFFFFF"/>
        </w:rPr>
        <w:t>IEE 855)</w:t>
      </w:r>
      <w:r w:rsidRPr="00D02886">
        <w:rPr>
          <w:rFonts w:ascii="Verdana" w:eastAsia="Verdana" w:hAnsi="Verdana" w:cs="Verdana"/>
          <w:b/>
          <w:bCs/>
        </w:rPr>
        <w:t>: Te</w:t>
      </w:r>
      <w:r>
        <w:rPr>
          <w:rFonts w:ascii="Verdana" w:eastAsia="Verdana" w:hAnsi="Verdana" w:cs="Verdana"/>
          <w:b/>
          <w:bCs/>
        </w:rPr>
        <w:t>oria Monetária e Financeira – da TQM à MMT</w:t>
      </w:r>
    </w:p>
    <w:p w14:paraId="2F337B93" w14:textId="77777777" w:rsidR="00575434" w:rsidRDefault="00575434">
      <w:pPr>
        <w:jc w:val="center"/>
        <w:rPr>
          <w:b/>
          <w:bCs/>
          <w:sz w:val="20"/>
          <w:szCs w:val="20"/>
        </w:rPr>
      </w:pPr>
    </w:p>
    <w:p w14:paraId="6A392909" w14:textId="77777777" w:rsidR="00D02886" w:rsidRDefault="00D02886" w:rsidP="00D02886">
      <w:pPr>
        <w:spacing w:line="360" w:lineRule="auto"/>
        <w:rPr>
          <w:b/>
          <w:bCs/>
          <w:u w:val="single"/>
        </w:rPr>
      </w:pPr>
    </w:p>
    <w:p w14:paraId="35208BE6" w14:textId="33E71A9F" w:rsidR="000F170C" w:rsidRDefault="000F170C" w:rsidP="00D02886">
      <w:pPr>
        <w:spacing w:line="360" w:lineRule="auto"/>
      </w:pPr>
      <w:r w:rsidRPr="000F170C">
        <w:rPr>
          <w:b/>
          <w:bCs/>
          <w:u w:val="single"/>
        </w:rPr>
        <w:t>Professor</w:t>
      </w:r>
      <w:r>
        <w:t xml:space="preserve">: Andre de Melo Modenesi – </w:t>
      </w:r>
      <w:r w:rsidR="008945BD">
        <w:t xml:space="preserve">com a </w:t>
      </w:r>
      <w:r>
        <w:t>colaboração especial de Flavia Dantas (SUNY)</w:t>
      </w:r>
    </w:p>
    <w:p w14:paraId="3FD3461D" w14:textId="77777777" w:rsidR="000F170C" w:rsidRDefault="000F170C" w:rsidP="00D02886">
      <w:pPr>
        <w:spacing w:line="360" w:lineRule="auto"/>
      </w:pPr>
    </w:p>
    <w:p w14:paraId="65187C02" w14:textId="55FF57AC" w:rsidR="00575434" w:rsidRDefault="00AD5BDF" w:rsidP="00D02886">
      <w:pPr>
        <w:spacing w:line="360" w:lineRule="auto"/>
      </w:pPr>
      <w:r>
        <w:t>Carga horária: 15 aulas (60 horas-aula)</w:t>
      </w:r>
    </w:p>
    <w:p w14:paraId="5E99E513" w14:textId="77777777" w:rsidR="00575434" w:rsidRDefault="00575434" w:rsidP="00D02886">
      <w:pPr>
        <w:spacing w:line="360" w:lineRule="auto"/>
      </w:pPr>
    </w:p>
    <w:p w14:paraId="50F5E623" w14:textId="77777777" w:rsidR="00575434" w:rsidRDefault="00AD5BDF">
      <w:pPr>
        <w:pStyle w:val="Ttulo1"/>
        <w:keepNext w:val="0"/>
        <w:keepLines/>
        <w:jc w:val="lef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  <w:u w:val="single"/>
        </w:rPr>
        <w:t>1. Objetivo</w:t>
      </w:r>
    </w:p>
    <w:p w14:paraId="048ABD90" w14:textId="77777777" w:rsidR="00575434" w:rsidRDefault="00575434">
      <w:pPr>
        <w:keepLines/>
        <w:rPr>
          <w:rFonts w:ascii="Verdana" w:eastAsia="Verdana" w:hAnsi="Verdana" w:cs="Verdana"/>
          <w:sz w:val="20"/>
          <w:szCs w:val="20"/>
        </w:rPr>
      </w:pPr>
    </w:p>
    <w:p w14:paraId="5996DF8E" w14:textId="5F777924" w:rsidR="00575434" w:rsidRPr="000F170C" w:rsidRDefault="00AD5BDF">
      <w:pPr>
        <w:keepLines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O curso tem por objetivo geral apresentar e discutir o instrumental teórico que sustenta o debate sobre o papel da moeda e da política monetária nas economias de mercado. Historicamente, há </w:t>
      </w:r>
      <w:r w:rsidR="000F170C">
        <w:rPr>
          <w:rFonts w:ascii="Verdana" w:eastAsia="Verdana" w:hAnsi="Verdana" w:cs="Verdana"/>
          <w:sz w:val="20"/>
          <w:szCs w:val="20"/>
        </w:rPr>
        <w:t>três</w:t>
      </w:r>
      <w:r>
        <w:rPr>
          <w:rFonts w:ascii="Verdana" w:eastAsia="Verdana" w:hAnsi="Verdana" w:cs="Verdana"/>
          <w:sz w:val="20"/>
          <w:szCs w:val="20"/>
        </w:rPr>
        <w:t xml:space="preserve"> marcos teóricos: i) Teoria Quantitativa da Moeda (TQM), que estabelece uma relação direta entre a oferta de moeda e o nível geral de preços</w:t>
      </w:r>
      <w:r w:rsidR="00D02886">
        <w:rPr>
          <w:rFonts w:ascii="Verdana" w:eastAsia="Verdana" w:hAnsi="Verdana" w:cs="Verdana"/>
          <w:sz w:val="20"/>
          <w:szCs w:val="20"/>
        </w:rPr>
        <w:t>, como proposto pelos “clássicos”;</w:t>
      </w:r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ii</w:t>
      </w:r>
      <w:proofErr w:type="spellEnd"/>
      <w:r>
        <w:rPr>
          <w:rFonts w:ascii="Verdana" w:eastAsia="Verdana" w:hAnsi="Verdana" w:cs="Verdana"/>
          <w:sz w:val="20"/>
          <w:szCs w:val="20"/>
        </w:rPr>
        <w:t>) Teoria da Preferência por Liquidez (TPL)</w:t>
      </w:r>
      <w:r w:rsidR="00D02886">
        <w:rPr>
          <w:rFonts w:ascii="Verdana" w:eastAsia="Verdana" w:hAnsi="Verdana" w:cs="Verdana"/>
          <w:sz w:val="20"/>
          <w:szCs w:val="20"/>
        </w:rPr>
        <w:t xml:space="preserve"> de Keynes</w:t>
      </w:r>
      <w:r>
        <w:rPr>
          <w:rFonts w:ascii="Verdana" w:eastAsia="Verdana" w:hAnsi="Verdana" w:cs="Verdana"/>
          <w:sz w:val="20"/>
          <w:szCs w:val="20"/>
        </w:rPr>
        <w:t xml:space="preserve">, que enfatiza o papel da demanda </w:t>
      </w:r>
      <w:r w:rsidRPr="000F170C">
        <w:rPr>
          <w:rFonts w:ascii="Verdana" w:eastAsia="Verdana" w:hAnsi="Verdana" w:cs="Verdana"/>
          <w:sz w:val="20"/>
          <w:szCs w:val="20"/>
        </w:rPr>
        <w:t xml:space="preserve">por moeda no comportamento das economias de mercado, </w:t>
      </w:r>
      <w:r w:rsidR="00D02886">
        <w:rPr>
          <w:rFonts w:ascii="Verdana" w:eastAsia="Verdana" w:hAnsi="Verdana" w:cs="Verdana"/>
          <w:sz w:val="20"/>
          <w:szCs w:val="20"/>
        </w:rPr>
        <w:t>por meio</w:t>
      </w:r>
      <w:r w:rsidRPr="000F170C">
        <w:rPr>
          <w:rFonts w:ascii="Verdana" w:eastAsia="Verdana" w:hAnsi="Verdana" w:cs="Verdana"/>
          <w:sz w:val="20"/>
          <w:szCs w:val="20"/>
        </w:rPr>
        <w:t xml:space="preserve"> de sua influência sobre as taxas de juros; e </w:t>
      </w:r>
      <w:proofErr w:type="spellStart"/>
      <w:r w:rsidR="000F170C" w:rsidRPr="000F170C">
        <w:rPr>
          <w:rFonts w:ascii="Verdana" w:eastAsia="Verdana" w:hAnsi="Verdana" w:cs="Verdana"/>
          <w:sz w:val="20"/>
          <w:szCs w:val="20"/>
        </w:rPr>
        <w:t>iii</w:t>
      </w:r>
      <w:proofErr w:type="spellEnd"/>
      <w:r w:rsidR="000F170C" w:rsidRPr="000F170C">
        <w:rPr>
          <w:rFonts w:ascii="Verdana" w:eastAsia="Verdana" w:hAnsi="Verdana" w:cs="Verdana"/>
          <w:sz w:val="20"/>
          <w:szCs w:val="20"/>
        </w:rPr>
        <w:t xml:space="preserve">) </w:t>
      </w:r>
      <w:r w:rsidRPr="000F170C">
        <w:rPr>
          <w:rFonts w:ascii="Verdana" w:eastAsia="Verdana" w:hAnsi="Verdana" w:cs="Verdana"/>
          <w:sz w:val="20"/>
          <w:szCs w:val="20"/>
        </w:rPr>
        <w:t>Teoria Monetária Moderna (MMT)</w:t>
      </w:r>
      <w:r w:rsidR="00D02886">
        <w:rPr>
          <w:rFonts w:ascii="Verdana" w:eastAsia="Verdana" w:hAnsi="Verdana" w:cs="Verdana"/>
          <w:sz w:val="20"/>
          <w:szCs w:val="20"/>
        </w:rPr>
        <w:t xml:space="preserve">, contemporaneamente e associada à teoria Pós </w:t>
      </w:r>
      <w:proofErr w:type="spellStart"/>
      <w:r w:rsidR="00D02886">
        <w:rPr>
          <w:rFonts w:ascii="Verdana" w:eastAsia="Verdana" w:hAnsi="Verdana" w:cs="Verdana"/>
          <w:sz w:val="20"/>
          <w:szCs w:val="20"/>
        </w:rPr>
        <w:t>Keynesia</w:t>
      </w:r>
      <w:proofErr w:type="spellEnd"/>
      <w:r w:rsidRPr="000F170C">
        <w:rPr>
          <w:rFonts w:ascii="Verdana" w:eastAsia="Verdana" w:hAnsi="Verdana" w:cs="Verdana"/>
          <w:sz w:val="20"/>
          <w:szCs w:val="20"/>
        </w:rPr>
        <w:t>.</w:t>
      </w:r>
      <w:r w:rsidRPr="000F170C">
        <w:rPr>
          <w:rFonts w:ascii="Verdana" w:eastAsia="Verdana" w:hAnsi="Verdana" w:cs="Verdana"/>
          <w:sz w:val="20"/>
          <w:szCs w:val="20"/>
          <w:vertAlign w:val="superscript"/>
        </w:rPr>
        <w:footnoteReference w:id="1"/>
      </w:r>
    </w:p>
    <w:p w14:paraId="0C0B24CE" w14:textId="77777777" w:rsidR="00575434" w:rsidRPr="000F170C" w:rsidRDefault="00AD5BDF">
      <w:pPr>
        <w:keepLines/>
        <w:rPr>
          <w:rFonts w:ascii="Verdana" w:eastAsia="Verdana" w:hAnsi="Verdana" w:cs="Verdana"/>
          <w:sz w:val="20"/>
          <w:szCs w:val="20"/>
        </w:rPr>
      </w:pPr>
      <w:r w:rsidRPr="000F170C">
        <w:rPr>
          <w:rFonts w:ascii="Verdana" w:eastAsia="Verdana" w:hAnsi="Verdana" w:cs="Verdana"/>
          <w:sz w:val="20"/>
          <w:szCs w:val="20"/>
        </w:rPr>
        <w:tab/>
      </w:r>
    </w:p>
    <w:p w14:paraId="228F9AA0" w14:textId="77777777" w:rsidR="00575434" w:rsidRDefault="00AD5BDF">
      <w:pPr>
        <w:keepLines/>
        <w:rPr>
          <w:rFonts w:ascii="Verdana" w:eastAsia="Verdana" w:hAnsi="Verdana" w:cs="Verdana"/>
          <w:sz w:val="20"/>
          <w:szCs w:val="20"/>
        </w:rPr>
      </w:pPr>
      <w:r w:rsidRPr="000F170C">
        <w:rPr>
          <w:rFonts w:ascii="Verdana" w:eastAsia="Verdana" w:hAnsi="Verdana" w:cs="Verdana"/>
          <w:sz w:val="20"/>
          <w:szCs w:val="20"/>
        </w:rPr>
        <w:t>A partir destes três paradigmas, o debate sobre as diversas formas de inserção e influência da moeda na dinâmica macroeconômica será desenvolvido com foco em:</w:t>
      </w:r>
      <w:r>
        <w:rPr>
          <w:rFonts w:ascii="Verdana" w:eastAsia="Verdana" w:hAnsi="Verdana" w:cs="Verdana"/>
          <w:sz w:val="20"/>
          <w:szCs w:val="20"/>
        </w:rPr>
        <w:t xml:space="preserve"> </w:t>
      </w:r>
    </w:p>
    <w:p w14:paraId="7A2BB0E8" w14:textId="77777777" w:rsidR="00575434" w:rsidRDefault="00575434">
      <w:pPr>
        <w:keepLines/>
        <w:rPr>
          <w:rFonts w:ascii="Verdana" w:eastAsia="Verdana" w:hAnsi="Verdana" w:cs="Verdana"/>
          <w:sz w:val="20"/>
          <w:szCs w:val="20"/>
        </w:rPr>
      </w:pPr>
    </w:p>
    <w:p w14:paraId="792EAABD" w14:textId="77777777" w:rsidR="00575434" w:rsidRDefault="00AD5BDF">
      <w:pPr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Relação </w:t>
      </w:r>
      <w:r>
        <w:rPr>
          <w:rFonts w:ascii="Verdana" w:eastAsia="Verdana" w:hAnsi="Verdana" w:cs="Verdana"/>
          <w:sz w:val="20"/>
          <w:szCs w:val="20"/>
        </w:rPr>
        <w:t>m</w:t>
      </w:r>
      <w:r>
        <w:rPr>
          <w:rFonts w:ascii="Verdana" w:eastAsia="Verdana" w:hAnsi="Verdana" w:cs="Verdana"/>
          <w:color w:val="000000"/>
          <w:sz w:val="20"/>
          <w:szCs w:val="20"/>
        </w:rPr>
        <w:t>oeda-</w:t>
      </w:r>
      <w:r>
        <w:rPr>
          <w:rFonts w:ascii="Verdana" w:eastAsia="Verdana" w:hAnsi="Verdana" w:cs="Verdana"/>
          <w:sz w:val="20"/>
          <w:szCs w:val="20"/>
        </w:rPr>
        <w:t>p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roduto </w:t>
      </w:r>
      <w:r>
        <w:rPr>
          <w:rFonts w:ascii="Verdana" w:eastAsia="Verdana" w:hAnsi="Verdana" w:cs="Verdana"/>
          <w:sz w:val="20"/>
          <w:szCs w:val="20"/>
        </w:rPr>
        <w:t>r</w:t>
      </w:r>
      <w:r>
        <w:rPr>
          <w:rFonts w:ascii="Verdana" w:eastAsia="Verdana" w:hAnsi="Verdana" w:cs="Verdana"/>
          <w:color w:val="000000"/>
          <w:sz w:val="20"/>
          <w:szCs w:val="20"/>
        </w:rPr>
        <w:t>eal;</w:t>
      </w:r>
    </w:p>
    <w:p w14:paraId="0E591B9C" w14:textId="77777777" w:rsidR="00575434" w:rsidRDefault="00AD5BDF">
      <w:pPr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Papel da moeda em economias monetárias de produção;</w:t>
      </w:r>
    </w:p>
    <w:p w14:paraId="0B84E865" w14:textId="77777777" w:rsidR="00575434" w:rsidRDefault="00AD5BDF">
      <w:pPr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Teorias de Inflação; e</w:t>
      </w:r>
    </w:p>
    <w:p w14:paraId="04D4316D" w14:textId="77777777" w:rsidR="00575434" w:rsidRPr="00D02886" w:rsidRDefault="00AD5BDF">
      <w:pPr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 w:rsidRPr="00D02886">
        <w:rPr>
          <w:rFonts w:ascii="Verdana" w:eastAsia="Verdana" w:hAnsi="Verdana" w:cs="Verdana"/>
          <w:color w:val="000000"/>
          <w:sz w:val="20"/>
          <w:szCs w:val="20"/>
        </w:rPr>
        <w:t>Funcionamento dos mercados financeiros.</w:t>
      </w:r>
    </w:p>
    <w:p w14:paraId="5B78E80E" w14:textId="056F44DB" w:rsidR="00D02886" w:rsidRDefault="00D02886">
      <w:pPr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br w:type="page"/>
      </w:r>
    </w:p>
    <w:p w14:paraId="56F0EE8D" w14:textId="77777777" w:rsidR="00575434" w:rsidRDefault="00AD5BDF">
      <w:pPr>
        <w:pStyle w:val="Ttulo1"/>
        <w:keepNext w:val="0"/>
        <w:keepLines/>
        <w:jc w:val="lef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  <w:u w:val="single"/>
        </w:rPr>
        <w:lastRenderedPageBreak/>
        <w:t>2. Avaliação</w:t>
      </w:r>
    </w:p>
    <w:p w14:paraId="73FC72A2" w14:textId="77777777" w:rsidR="00575434" w:rsidRDefault="00575434">
      <w:pPr>
        <w:keepLines/>
        <w:rPr>
          <w:rFonts w:ascii="Verdana" w:eastAsia="Verdana" w:hAnsi="Verdana" w:cs="Verdana"/>
          <w:b/>
          <w:bCs/>
          <w:sz w:val="20"/>
          <w:szCs w:val="20"/>
        </w:rPr>
      </w:pPr>
    </w:p>
    <w:p w14:paraId="36C6A1C5" w14:textId="0C158845" w:rsidR="00575434" w:rsidRDefault="00AD5BDF">
      <w:pPr>
        <w:keepLines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A avaliação será feita por meio de um trabalho (mínimo de 15 páginas e máximo de 20 páginas)</w:t>
      </w:r>
      <w:r w:rsidR="00D02886">
        <w:rPr>
          <w:rFonts w:ascii="Verdana" w:eastAsia="Verdana" w:hAnsi="Verdana" w:cs="Verdana"/>
          <w:sz w:val="20"/>
          <w:szCs w:val="20"/>
        </w:rPr>
        <w:t>;</w:t>
      </w:r>
      <w:r>
        <w:rPr>
          <w:rFonts w:ascii="Verdana" w:eastAsia="Verdana" w:hAnsi="Verdana" w:cs="Verdana"/>
          <w:sz w:val="20"/>
          <w:szCs w:val="20"/>
        </w:rPr>
        <w:t xml:space="preserve"> com espaçamento de 1,5; letra Times New Roman, tamanho 12</w:t>
      </w:r>
      <w:r w:rsidR="00D02886">
        <w:rPr>
          <w:rFonts w:ascii="Verdana" w:eastAsia="Verdana" w:hAnsi="Verdana" w:cs="Verdana"/>
          <w:sz w:val="20"/>
          <w:szCs w:val="20"/>
        </w:rPr>
        <w:t>;</w:t>
      </w:r>
      <w:r>
        <w:rPr>
          <w:rFonts w:ascii="Verdana" w:eastAsia="Verdana" w:hAnsi="Verdana" w:cs="Verdana"/>
          <w:sz w:val="20"/>
          <w:szCs w:val="20"/>
        </w:rPr>
        <w:t xml:space="preserve"> a ser entregue no último dia de aula. O tema do trabalho deve ser definido individualmente de comum acordo com o professor. O desenvolvimento do trabalho será acompanhado pelo professor na forma de reuniões presenciais (15-20 minutos) a serem realizadas na sala de aula e/ou na sala (115)</w:t>
      </w:r>
      <w:r w:rsidR="00D02886">
        <w:rPr>
          <w:rFonts w:ascii="Verdana" w:eastAsia="Verdana" w:hAnsi="Verdana" w:cs="Verdana"/>
          <w:sz w:val="20"/>
          <w:szCs w:val="20"/>
        </w:rPr>
        <w:t xml:space="preserve"> – sede</w:t>
      </w:r>
      <w:r>
        <w:rPr>
          <w:rFonts w:ascii="Verdana" w:eastAsia="Verdana" w:hAnsi="Verdana" w:cs="Verdana"/>
          <w:sz w:val="20"/>
          <w:szCs w:val="20"/>
        </w:rPr>
        <w:t xml:space="preserve"> do Observatório do Banco Central, localizado no Instituto de Economia da Universidade Federal do Rio de Janeiro (OBC-IE/UFRJ). Assim, espera-se contribuir para a formação teórica do(a) aluno(a) e iniciá-lo(a) na produção de artigo científico.</w:t>
      </w:r>
    </w:p>
    <w:p w14:paraId="07E5650C" w14:textId="31198700" w:rsidR="000F170C" w:rsidRDefault="000F170C">
      <w:pPr>
        <w:rPr>
          <w:rFonts w:ascii="Verdana" w:eastAsia="Verdana" w:hAnsi="Verdana" w:cs="Verdana"/>
          <w:sz w:val="20"/>
          <w:szCs w:val="20"/>
        </w:rPr>
      </w:pPr>
    </w:p>
    <w:p w14:paraId="73293366" w14:textId="77777777" w:rsidR="00575434" w:rsidRDefault="00575434">
      <w:pPr>
        <w:keepLines/>
        <w:rPr>
          <w:rFonts w:ascii="Verdana" w:eastAsia="Verdana" w:hAnsi="Verdana" w:cs="Verdana"/>
          <w:sz w:val="20"/>
          <w:szCs w:val="20"/>
        </w:rPr>
      </w:pPr>
    </w:p>
    <w:p w14:paraId="0662218E" w14:textId="77777777" w:rsidR="00575434" w:rsidRDefault="00AD5BDF">
      <w:pPr>
        <w:keepLines/>
        <w:rPr>
          <w:rFonts w:ascii="Verdana" w:eastAsia="Verdana" w:hAnsi="Verdana" w:cs="Verdana"/>
          <w:b/>
          <w:bCs/>
          <w:sz w:val="20"/>
          <w:szCs w:val="20"/>
          <w:u w:val="single"/>
        </w:rPr>
      </w:pP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3. Programa</w:t>
      </w:r>
    </w:p>
    <w:p w14:paraId="7DADEDCB" w14:textId="77777777" w:rsidR="00575434" w:rsidRDefault="00575434"/>
    <w:p w14:paraId="79BDA6BE" w14:textId="77777777" w:rsidR="000F170C" w:rsidRDefault="000F170C">
      <w:pPr>
        <w:keepLines/>
        <w:jc w:val="center"/>
        <w:rPr>
          <w:rFonts w:ascii="Verdana" w:eastAsia="Verdana" w:hAnsi="Verdana" w:cs="Verdana"/>
          <w:b/>
          <w:bCs/>
          <w:sz w:val="20"/>
          <w:szCs w:val="20"/>
          <w:u w:val="single"/>
        </w:rPr>
      </w:pPr>
    </w:p>
    <w:p w14:paraId="14888134" w14:textId="76997F82" w:rsidR="00575434" w:rsidRDefault="00AD5BDF">
      <w:pPr>
        <w:keepLines/>
        <w:jc w:val="center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Parte I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: </w:t>
      </w: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Conceitos Básicos e Fundamentos Teóricos</w:t>
      </w:r>
      <w:r>
        <w:rPr>
          <w:rFonts w:ascii="Verdana" w:eastAsia="Verdana" w:hAnsi="Verdana" w:cs="Verdana"/>
          <w:sz w:val="20"/>
          <w:szCs w:val="20"/>
        </w:rPr>
        <w:t xml:space="preserve"> (4 aulas)</w:t>
      </w:r>
    </w:p>
    <w:p w14:paraId="53D1767D" w14:textId="77777777" w:rsidR="00575434" w:rsidRDefault="00575434">
      <w:pPr>
        <w:keepLines/>
        <w:rPr>
          <w:rFonts w:ascii="Verdana" w:eastAsia="Verdana" w:hAnsi="Verdana" w:cs="Verdana"/>
          <w:sz w:val="20"/>
          <w:szCs w:val="20"/>
        </w:rPr>
      </w:pPr>
    </w:p>
    <w:p w14:paraId="25BB8802" w14:textId="499484A5" w:rsidR="00575434" w:rsidRDefault="00AD5BDF">
      <w:pPr>
        <w:pStyle w:val="Ttulo1"/>
        <w:keepNext w:val="0"/>
        <w:keepLines/>
        <w:jc w:val="lef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1. Contextualização do Tema e Conceitos Básicos</w:t>
      </w:r>
    </w:p>
    <w:p w14:paraId="265D6C1A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1.1. A teoria monetária em perspectiva histórica</w:t>
      </w:r>
    </w:p>
    <w:p w14:paraId="6908DDD6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1.2. controvérsia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bullionista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e o surgimento da Teoria Quantitativa da Moeda (TQM)</w:t>
      </w:r>
    </w:p>
    <w:p w14:paraId="14334405" w14:textId="77777777" w:rsidR="00575434" w:rsidRDefault="00575434">
      <w:pPr>
        <w:keepLines/>
        <w:rPr>
          <w:rFonts w:ascii="Verdana" w:eastAsia="Verdana" w:hAnsi="Verdana" w:cs="Verdana"/>
          <w:b/>
          <w:bCs/>
          <w:sz w:val="20"/>
          <w:szCs w:val="20"/>
        </w:rPr>
      </w:pPr>
    </w:p>
    <w:p w14:paraId="0DC52F2A" w14:textId="77777777" w:rsidR="00575434" w:rsidRDefault="00AD5BDF">
      <w:pPr>
        <w:keepLines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2. Teoria Monetária clássica </w:t>
      </w:r>
      <w:r>
        <w:rPr>
          <w:rFonts w:ascii="Verdana" w:eastAsia="Verdana" w:hAnsi="Verdana" w:cs="Verdana"/>
          <w:sz w:val="20"/>
          <w:szCs w:val="20"/>
        </w:rPr>
        <w:t xml:space="preserve"> (1 aula)</w:t>
      </w:r>
    </w:p>
    <w:p w14:paraId="60AF0C56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2.1. TQM clássica: versões de Fisher e de Cambridge</w:t>
      </w:r>
    </w:p>
    <w:p w14:paraId="36793448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2.2. Teoria dos fundos emprestáveis (TFE)</w:t>
      </w:r>
    </w:p>
    <w:p w14:paraId="62D77D5B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2.3. </w:t>
      </w:r>
      <w:proofErr w:type="spellStart"/>
      <w:r>
        <w:rPr>
          <w:rFonts w:ascii="Verdana" w:eastAsia="Verdana" w:hAnsi="Verdana" w:cs="Verdana"/>
          <w:sz w:val="20"/>
          <w:szCs w:val="20"/>
        </w:rPr>
        <w:t>Wicksell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e o processo cumulativo</w:t>
      </w:r>
    </w:p>
    <w:p w14:paraId="7FF0E5AB" w14:textId="77777777" w:rsidR="00575434" w:rsidRDefault="00575434">
      <w:pPr>
        <w:keepLines/>
        <w:rPr>
          <w:rFonts w:ascii="Verdana" w:eastAsia="Verdana" w:hAnsi="Verdana" w:cs="Verdana"/>
          <w:sz w:val="20"/>
          <w:szCs w:val="20"/>
        </w:rPr>
      </w:pPr>
    </w:p>
    <w:p w14:paraId="57A7DA9D" w14:textId="77777777" w:rsidR="00575434" w:rsidRDefault="00AD5BDF">
      <w:pPr>
        <w:keepLines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3. Teoria Monetária de Keynes</w:t>
      </w:r>
      <w:r>
        <w:rPr>
          <w:rFonts w:ascii="Verdana" w:eastAsia="Verdana" w:hAnsi="Verdana" w:cs="Verdana"/>
          <w:sz w:val="20"/>
          <w:szCs w:val="20"/>
        </w:rPr>
        <w:t xml:space="preserve"> (2 aulas)</w:t>
      </w:r>
    </w:p>
    <w:p w14:paraId="5D7A9EDC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3.1. Economia monetária de produção: incerteza e Princípio da Demanda Efetiva</w:t>
      </w:r>
    </w:p>
    <w:p w14:paraId="442D585B" w14:textId="77777777" w:rsidR="00575434" w:rsidRDefault="00AD5BDF">
      <w:pPr>
        <w:keepLines/>
        <w:ind w:left="284"/>
        <w:rPr>
          <w:rFonts w:ascii="Verdana" w:eastAsia="Verdana" w:hAnsi="Verdana" w:cs="Verdana"/>
          <w:i/>
          <w:i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3.2. Esferas de Circulação Monetária: </w:t>
      </w:r>
      <w:r>
        <w:rPr>
          <w:rFonts w:ascii="Verdana" w:eastAsia="Verdana" w:hAnsi="Verdana" w:cs="Verdana"/>
          <w:i/>
          <w:iCs/>
          <w:sz w:val="20"/>
          <w:szCs w:val="20"/>
        </w:rPr>
        <w:t>Tratado sobre a Moeda</w:t>
      </w:r>
    </w:p>
    <w:p w14:paraId="1AA36D42" w14:textId="77777777" w:rsidR="00575434" w:rsidRDefault="00AD5BDF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3.3. Propriedades da moeda</w:t>
      </w:r>
    </w:p>
    <w:p w14:paraId="3304F29D" w14:textId="239BAB75" w:rsidR="00575434" w:rsidRDefault="00AD5BDF" w:rsidP="00B44A08">
      <w:pPr>
        <w:keepLines/>
        <w:ind w:left="284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3.4. Demanda por moeda e teoria da preferência por liquidez (TPL): taxa de juros e precificação de ativos</w:t>
      </w:r>
    </w:p>
    <w:p w14:paraId="260D68FE" w14:textId="77777777" w:rsidR="00B44A08" w:rsidRDefault="00B44A08" w:rsidP="00B44A08">
      <w:pPr>
        <w:keepLines/>
        <w:ind w:left="284"/>
        <w:rPr>
          <w:rFonts w:ascii="Verdana" w:eastAsia="Verdana" w:hAnsi="Verdana" w:cs="Verdana"/>
          <w:sz w:val="20"/>
          <w:szCs w:val="20"/>
        </w:rPr>
      </w:pPr>
    </w:p>
    <w:p w14:paraId="5FDC3F69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4. Demanda por Moeda: uma revisão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(1 aula)</w:t>
      </w:r>
    </w:p>
    <w:p w14:paraId="1F7978D6" w14:textId="6C3F82A3" w:rsidR="00575434" w:rsidRDefault="008945BD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  </w:t>
      </w:r>
      <w:r w:rsidR="00AD5BDF">
        <w:rPr>
          <w:rFonts w:ascii="Verdana" w:eastAsia="Verdana" w:hAnsi="Verdana" w:cs="Verdana"/>
          <w:color w:val="000000"/>
          <w:sz w:val="20"/>
          <w:szCs w:val="20"/>
        </w:rPr>
        <w:t xml:space="preserve">4.1. O modelo de demanda especulativa de Tobin </w:t>
      </w:r>
    </w:p>
    <w:p w14:paraId="121D6D7B" w14:textId="5E3CEA3F" w:rsidR="00575434" w:rsidRDefault="008945BD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  </w:t>
      </w:r>
      <w:r w:rsidR="00AD5BDF">
        <w:rPr>
          <w:rFonts w:ascii="Verdana" w:eastAsia="Verdana" w:hAnsi="Verdana" w:cs="Verdana"/>
          <w:color w:val="000000"/>
          <w:sz w:val="20"/>
          <w:szCs w:val="20"/>
        </w:rPr>
        <w:t xml:space="preserve">4.2. O modelo de demanda transacional de </w:t>
      </w:r>
      <w:proofErr w:type="spellStart"/>
      <w:r w:rsidR="00AD5BDF">
        <w:rPr>
          <w:rFonts w:ascii="Verdana" w:eastAsia="Verdana" w:hAnsi="Verdana" w:cs="Verdana"/>
          <w:color w:val="000000"/>
          <w:sz w:val="20"/>
          <w:szCs w:val="20"/>
        </w:rPr>
        <w:t>Baumol</w:t>
      </w:r>
      <w:proofErr w:type="spellEnd"/>
      <w:r w:rsidR="00AD5BDF">
        <w:rPr>
          <w:rFonts w:ascii="Verdana" w:eastAsia="Verdana" w:hAnsi="Verdana" w:cs="Verdana"/>
          <w:color w:val="000000"/>
          <w:sz w:val="20"/>
          <w:szCs w:val="20"/>
        </w:rPr>
        <w:t>-Tobin</w:t>
      </w:r>
    </w:p>
    <w:p w14:paraId="0DFDC2F5" w14:textId="05DF9A77" w:rsidR="00575434" w:rsidRDefault="008945BD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pq9xezylh21l" w:colFirst="0" w:colLast="0"/>
      <w:bookmarkEnd w:id="0"/>
      <w:r>
        <w:rPr>
          <w:rFonts w:ascii="Verdana" w:eastAsia="Verdana" w:hAnsi="Verdana" w:cs="Verdana"/>
          <w:color w:val="000000"/>
          <w:sz w:val="20"/>
          <w:szCs w:val="20"/>
        </w:rPr>
        <w:t xml:space="preserve">    </w:t>
      </w:r>
      <w:r w:rsidR="00AD5BDF">
        <w:rPr>
          <w:rFonts w:ascii="Verdana" w:eastAsia="Verdana" w:hAnsi="Verdana" w:cs="Verdana"/>
          <w:color w:val="000000"/>
          <w:sz w:val="20"/>
          <w:szCs w:val="20"/>
        </w:rPr>
        <w:t>4.3. O modelo de demanda por moeda de Friedman e o restabelecimento da TQM</w:t>
      </w:r>
    </w:p>
    <w:p w14:paraId="5B2CD81D" w14:textId="6E3581BF" w:rsidR="00575434" w:rsidRDefault="008945BD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  </w:t>
      </w:r>
      <w:r w:rsidR="00AD5BDF">
        <w:rPr>
          <w:rFonts w:ascii="Verdana" w:eastAsia="Verdana" w:hAnsi="Verdana" w:cs="Verdana"/>
          <w:color w:val="000000"/>
          <w:sz w:val="20"/>
          <w:szCs w:val="20"/>
        </w:rPr>
        <w:t xml:space="preserve">4.4. Assimetria de informação e racionamento de crédito: a contribuição de Stiglitz, Weiss e </w:t>
      </w:r>
      <w:proofErr w:type="spellStart"/>
      <w:r w:rsidR="00AD5BDF">
        <w:rPr>
          <w:rFonts w:ascii="Verdana" w:eastAsia="Verdana" w:hAnsi="Verdana" w:cs="Verdana"/>
          <w:color w:val="000000"/>
          <w:sz w:val="20"/>
          <w:szCs w:val="20"/>
        </w:rPr>
        <w:t>Jafee</w:t>
      </w:r>
      <w:proofErr w:type="spellEnd"/>
    </w:p>
    <w:p w14:paraId="626BC9B1" w14:textId="77777777" w:rsidR="00575434" w:rsidRDefault="00575434"/>
    <w:p w14:paraId="25BF188C" w14:textId="26C359A3" w:rsidR="00575434" w:rsidRDefault="00AD5BDF">
      <w:pPr>
        <w:keepLines/>
        <w:jc w:val="center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Parte II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: </w:t>
      </w: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O Debate Teórico</w:t>
      </w:r>
      <w:r>
        <w:rPr>
          <w:rFonts w:ascii="Verdana" w:eastAsia="Verdana" w:hAnsi="Verdana" w:cs="Verdana"/>
          <w:sz w:val="20"/>
          <w:szCs w:val="20"/>
        </w:rPr>
        <w:t xml:space="preserve"> (5 aulas)</w:t>
      </w:r>
    </w:p>
    <w:p w14:paraId="2F1D843C" w14:textId="77777777" w:rsidR="00575434" w:rsidRDefault="00575434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</w:p>
    <w:p w14:paraId="1A66AF51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b/>
          <w:bCs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 xml:space="preserve">5. A Relação Moeda-Produto Real: neutralidade </w:t>
      </w:r>
      <w:r>
        <w:rPr>
          <w:rFonts w:ascii="Verdana" w:eastAsia="Verdana" w:hAnsi="Verdana" w:cs="Verdana"/>
          <w:b/>
          <w:bCs/>
          <w:i/>
          <w:iCs/>
          <w:color w:val="000000"/>
          <w:sz w:val="20"/>
          <w:szCs w:val="20"/>
        </w:rPr>
        <w:t>x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 xml:space="preserve"> não-neutralidade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(</w:t>
      </w:r>
      <w:r>
        <w:rPr>
          <w:rFonts w:ascii="Verdana" w:eastAsia="Verdana" w:hAnsi="Verdana" w:cs="Verdana"/>
          <w:sz w:val="20"/>
          <w:szCs w:val="20"/>
        </w:rPr>
        <w:t>2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aulas)</w:t>
      </w:r>
    </w:p>
    <w:p w14:paraId="70606EC5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5.1. A neutralidade da moeda na visão clássica: monetaristas e novos-clássicos</w:t>
      </w:r>
    </w:p>
    <w:p w14:paraId="3E866C2F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5.2. A não-neutralidade da moeda na visão de Keynes e pós-keynesianos</w:t>
      </w:r>
    </w:p>
    <w:p w14:paraId="45F12137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5.3 A não-neutralidade da moeda na visão novo-keynesiana: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microfundamentos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da não neutralidade no curto prazo</w:t>
      </w:r>
    </w:p>
    <w:p w14:paraId="4E940229" w14:textId="77777777" w:rsidR="00575434" w:rsidRDefault="00575434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</w:p>
    <w:p w14:paraId="1F23CE2A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b/>
          <w:bCs/>
          <w:color w:val="FF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lastRenderedPageBreak/>
        <w:t>6. Teorias de Inflação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(3 aulas)</w:t>
      </w:r>
    </w:p>
    <w:p w14:paraId="3BA8F0FB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6.1. Modelo clássico</w:t>
      </w:r>
    </w:p>
    <w:p w14:paraId="5B31B136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6.2. Keynes</w:t>
      </w:r>
    </w:p>
    <w:p w14:paraId="1C685144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6.3. Pós-keynesianos: Davidson,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Wientraub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e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Eichner</w:t>
      </w:r>
      <w:proofErr w:type="spellEnd"/>
    </w:p>
    <w:p w14:paraId="69025FB6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6.4. Conflito distributivo e inflação inercial </w:t>
      </w:r>
    </w:p>
    <w:p w14:paraId="1B1ECA4C" w14:textId="496EDBD4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6.6. Teoria Monetária Moderna (MMT): Randall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Wray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(</w:t>
      </w:r>
      <w:r w:rsidR="00B44A08">
        <w:rPr>
          <w:rFonts w:ascii="Verdana" w:eastAsia="Verdana" w:hAnsi="Verdana" w:cs="Verdana"/>
          <w:color w:val="000000"/>
          <w:sz w:val="20"/>
          <w:szCs w:val="20"/>
        </w:rPr>
        <w:t xml:space="preserve">com </w:t>
      </w:r>
      <w:r>
        <w:rPr>
          <w:rFonts w:ascii="Verdana" w:eastAsia="Verdana" w:hAnsi="Verdana" w:cs="Verdana"/>
          <w:color w:val="000000"/>
          <w:sz w:val="20"/>
          <w:szCs w:val="20"/>
        </w:rPr>
        <w:t>Flávia Dantas)</w:t>
      </w:r>
    </w:p>
    <w:p w14:paraId="07437EC9" w14:textId="4EE7E109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6.7. Teoria fiscal do Nível de Preços </w:t>
      </w:r>
      <w:r>
        <w:rPr>
          <w:rFonts w:ascii="Verdana" w:eastAsia="Verdana" w:hAnsi="Verdana" w:cs="Verdana"/>
          <w:sz w:val="20"/>
          <w:szCs w:val="20"/>
        </w:rPr>
        <w:t>(</w:t>
      </w:r>
      <w:r w:rsidR="00B44A08">
        <w:rPr>
          <w:rFonts w:ascii="Verdana" w:eastAsia="Verdana" w:hAnsi="Verdana" w:cs="Verdana"/>
          <w:sz w:val="20"/>
          <w:szCs w:val="20"/>
        </w:rPr>
        <w:t xml:space="preserve">com </w:t>
      </w:r>
      <w:r>
        <w:rPr>
          <w:rFonts w:ascii="Verdana" w:eastAsia="Verdana" w:hAnsi="Verdana" w:cs="Verdana"/>
          <w:sz w:val="20"/>
          <w:szCs w:val="20"/>
        </w:rPr>
        <w:t>Flávia Dantas)</w:t>
      </w:r>
    </w:p>
    <w:p w14:paraId="436388D6" w14:textId="77777777" w:rsidR="00575434" w:rsidRDefault="00575434"/>
    <w:p w14:paraId="5C854CD6" w14:textId="77777777" w:rsidR="00575434" w:rsidRDefault="00575434">
      <w:bookmarkStart w:id="1" w:name="_heading=h.av5r40qcx21h" w:colFirst="0" w:colLast="0"/>
      <w:bookmarkEnd w:id="1"/>
    </w:p>
    <w:p w14:paraId="00E19872" w14:textId="77777777" w:rsidR="00575434" w:rsidRDefault="00575434"/>
    <w:p w14:paraId="11CEE502" w14:textId="77777777" w:rsidR="00593C81" w:rsidRDefault="00AD5BDF">
      <w:pPr>
        <w:keepLines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  <w:u w:val="single"/>
        </w:rPr>
        <w:t>Parte III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 xml:space="preserve">:  Sistemas, Mercados e Regulação Financeira </w:t>
      </w:r>
      <w:r>
        <w:rPr>
          <w:rFonts w:ascii="Verdana" w:eastAsia="Verdana" w:hAnsi="Verdana" w:cs="Verdana"/>
          <w:sz w:val="20"/>
          <w:szCs w:val="20"/>
        </w:rPr>
        <w:t>(3 aulas)</w:t>
      </w:r>
      <w:r w:rsidR="00593C81">
        <w:rPr>
          <w:rFonts w:ascii="Verdana" w:eastAsia="Verdana" w:hAnsi="Verdana" w:cs="Verdana"/>
          <w:sz w:val="20"/>
          <w:szCs w:val="20"/>
        </w:rPr>
        <w:t xml:space="preserve"> </w:t>
      </w:r>
    </w:p>
    <w:p w14:paraId="050F1344" w14:textId="77777777" w:rsidR="00575434" w:rsidRDefault="00575434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0"/>
          <w:szCs w:val="20"/>
        </w:rPr>
      </w:pPr>
    </w:p>
    <w:p w14:paraId="2E62D299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b/>
          <w:bCs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7.1.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Conceitos Básicos: mercados, instituições e sistemas financeiros</w:t>
      </w:r>
    </w:p>
    <w:p w14:paraId="20360895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7.1.1. Mercados: monetário, de crédito, de capitais, etc.</w:t>
      </w:r>
    </w:p>
    <w:p w14:paraId="53F3FD2A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7.1.2. Ativos: bancários, de capital, títulos de dívida e de propriedade, etc. </w:t>
      </w:r>
    </w:p>
    <w:p w14:paraId="52442792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7.1.3. Instituições: bancárias, não-bancárias e reguladoras</w:t>
      </w:r>
    </w:p>
    <w:p w14:paraId="1BAEFAC9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7.1.4. Risco sistêmico</w:t>
      </w:r>
    </w:p>
    <w:p w14:paraId="22D7B655" w14:textId="77777777" w:rsidR="00575434" w:rsidRDefault="00575434">
      <w:pPr>
        <w:rPr>
          <w:rFonts w:ascii="Verdana" w:eastAsia="Verdana" w:hAnsi="Verdana" w:cs="Verdana"/>
          <w:i/>
          <w:iCs/>
          <w:sz w:val="20"/>
          <w:szCs w:val="20"/>
        </w:rPr>
      </w:pPr>
    </w:p>
    <w:p w14:paraId="487A8F07" w14:textId="77777777" w:rsidR="00575434" w:rsidRDefault="00AD5BDF">
      <w:pPr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7.2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Funcionamento do mercado financeiro </w:t>
      </w:r>
    </w:p>
    <w:p w14:paraId="20CDE992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7.2.1. Hipótese dos Mercados Eficientes</w:t>
      </w:r>
    </w:p>
    <w:p w14:paraId="16863A58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7.2.2. Finanças comportamentais</w:t>
      </w:r>
    </w:p>
    <w:p w14:paraId="3678ED34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7.2.3. Hipótese da Instabilidade Financeira</w:t>
      </w:r>
    </w:p>
    <w:p w14:paraId="5830B650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7.2.4. Teoria Legal das Finanças</w:t>
      </w:r>
    </w:p>
    <w:p w14:paraId="5FCEED68" w14:textId="77777777" w:rsidR="00575434" w:rsidRDefault="00575434">
      <w:pPr>
        <w:rPr>
          <w:rFonts w:ascii="Verdana" w:eastAsia="Verdana" w:hAnsi="Verdana" w:cs="Verdana"/>
          <w:sz w:val="20"/>
          <w:szCs w:val="20"/>
        </w:rPr>
      </w:pPr>
    </w:p>
    <w:p w14:paraId="2076A086" w14:textId="77777777" w:rsidR="00575434" w:rsidRDefault="00AD5BDF">
      <w:pPr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7.3.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Regulação financeira </w:t>
      </w:r>
    </w:p>
    <w:p w14:paraId="01F9042F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7.3.1. Regulação pré-acordos de Basiléia</w:t>
      </w:r>
    </w:p>
    <w:p w14:paraId="492227D6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7.3.2. Acordo internacional de capitais de Basileia I, II e II</w:t>
      </w:r>
    </w:p>
    <w:p w14:paraId="3E5F0F64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7.3.3. Lei Dodd-Frank</w:t>
      </w:r>
    </w:p>
    <w:p w14:paraId="5FDE4738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7.3.4. Crise Financeira de 2008 (subprime)</w:t>
      </w:r>
    </w:p>
    <w:p w14:paraId="6D5F0BA7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7.3.5. Federal Reserve Bank (FED) e a gestão da liquidez internacional: Swaps entre bancos centrais   </w:t>
      </w:r>
    </w:p>
    <w:p w14:paraId="724EFD7A" w14:textId="77777777" w:rsidR="00575434" w:rsidRDefault="00575434">
      <w:pPr>
        <w:spacing w:after="160" w:line="259" w:lineRule="auto"/>
        <w:jc w:val="center"/>
        <w:rPr>
          <w:rFonts w:ascii="Verdana" w:eastAsia="Verdana" w:hAnsi="Verdana" w:cs="Verdana"/>
          <w:b/>
          <w:bCs/>
          <w:sz w:val="20"/>
          <w:szCs w:val="20"/>
          <w:u w:val="single"/>
        </w:rPr>
      </w:pPr>
    </w:p>
    <w:p w14:paraId="5B5F1C3E" w14:textId="50247FD4" w:rsidR="00575434" w:rsidRDefault="00AD5BDF">
      <w:pPr>
        <w:spacing w:after="160" w:line="259" w:lineRule="auto"/>
        <w:jc w:val="center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t>Parte I</w:t>
      </w:r>
      <w:r w:rsidR="00B44A08">
        <w:rPr>
          <w:rFonts w:ascii="Verdana" w:eastAsia="Verdana" w:hAnsi="Verdana" w:cs="Verdana"/>
          <w:b/>
          <w:bCs/>
          <w:sz w:val="20"/>
          <w:szCs w:val="20"/>
          <w:u w:val="single"/>
        </w:rPr>
        <w:t>V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:  </w:t>
      </w:r>
      <w:r w:rsidR="00B44A08">
        <w:rPr>
          <w:rFonts w:ascii="Verdana" w:eastAsia="Verdana" w:hAnsi="Verdana" w:cs="Verdana"/>
          <w:b/>
          <w:bCs/>
          <w:sz w:val="20"/>
          <w:szCs w:val="20"/>
        </w:rPr>
        <w:t>P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rodução </w:t>
      </w:r>
      <w:r w:rsidR="00B44A08">
        <w:rPr>
          <w:rFonts w:ascii="Verdana" w:eastAsia="Verdana" w:hAnsi="Verdana" w:cs="Verdana"/>
          <w:b/>
          <w:bCs/>
          <w:sz w:val="20"/>
          <w:szCs w:val="20"/>
        </w:rPr>
        <w:t>C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ientífica </w:t>
      </w:r>
      <w:r>
        <w:rPr>
          <w:rFonts w:ascii="Verdana" w:eastAsia="Verdana" w:hAnsi="Verdana" w:cs="Verdana"/>
          <w:sz w:val="20"/>
          <w:szCs w:val="20"/>
        </w:rPr>
        <w:t>(</w:t>
      </w:r>
      <w:r w:rsidR="00B44A08">
        <w:rPr>
          <w:rFonts w:ascii="Verdana" w:eastAsia="Verdana" w:hAnsi="Verdana" w:cs="Verdana"/>
          <w:sz w:val="20"/>
          <w:szCs w:val="20"/>
        </w:rPr>
        <w:t>3</w:t>
      </w:r>
      <w:r>
        <w:rPr>
          <w:rFonts w:ascii="Verdana" w:eastAsia="Verdana" w:hAnsi="Verdana" w:cs="Verdana"/>
          <w:sz w:val="20"/>
          <w:szCs w:val="20"/>
        </w:rPr>
        <w:t xml:space="preserve"> aula</w:t>
      </w:r>
      <w:r w:rsidR="00B44A08">
        <w:rPr>
          <w:rFonts w:ascii="Verdana" w:eastAsia="Verdana" w:hAnsi="Verdana" w:cs="Verdana"/>
          <w:sz w:val="20"/>
          <w:szCs w:val="20"/>
        </w:rPr>
        <w:t>s</w:t>
      </w:r>
      <w:r>
        <w:rPr>
          <w:rFonts w:ascii="Verdana" w:eastAsia="Verdana" w:hAnsi="Verdana" w:cs="Verdana"/>
          <w:sz w:val="20"/>
          <w:szCs w:val="20"/>
        </w:rPr>
        <w:t>)</w:t>
      </w:r>
    </w:p>
    <w:p w14:paraId="6ACB5827" w14:textId="7DC11D79" w:rsidR="00575434" w:rsidRPr="00B44A08" w:rsidRDefault="00B44A08" w:rsidP="00B44A08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 w:rsidRPr="00B44A08">
        <w:rPr>
          <w:rFonts w:ascii="Verdana" w:eastAsia="Verdana" w:hAnsi="Verdana" w:cs="Verdana"/>
          <w:color w:val="000000"/>
          <w:sz w:val="20"/>
          <w:szCs w:val="20"/>
        </w:rPr>
        <w:t xml:space="preserve">8.1. </w:t>
      </w:r>
      <w:r w:rsidR="00AD5BDF" w:rsidRPr="00B44A08">
        <w:rPr>
          <w:rFonts w:ascii="Verdana" w:eastAsia="Verdana" w:hAnsi="Verdana" w:cs="Verdana"/>
          <w:color w:val="000000"/>
          <w:sz w:val="20"/>
          <w:szCs w:val="20"/>
        </w:rPr>
        <w:t>Apresentação do tema</w:t>
      </w:r>
    </w:p>
    <w:p w14:paraId="1601C403" w14:textId="7494B4D2" w:rsidR="00575434" w:rsidRPr="00B44A08" w:rsidRDefault="00B44A08" w:rsidP="00B44A08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color w:val="000000"/>
          <w:sz w:val="20"/>
          <w:szCs w:val="20"/>
        </w:rPr>
      </w:pPr>
      <w:r w:rsidRPr="00B44A08">
        <w:rPr>
          <w:rFonts w:ascii="Verdana" w:eastAsia="Verdana" w:hAnsi="Verdana" w:cs="Verdana"/>
          <w:color w:val="000000"/>
          <w:sz w:val="20"/>
          <w:szCs w:val="20"/>
        </w:rPr>
        <w:t>8.</w:t>
      </w:r>
      <w:r w:rsidR="00AD5BDF" w:rsidRPr="00B44A08">
        <w:rPr>
          <w:rFonts w:ascii="Verdana" w:eastAsia="Verdana" w:hAnsi="Verdana" w:cs="Verdana"/>
          <w:color w:val="000000"/>
          <w:sz w:val="20"/>
          <w:szCs w:val="20"/>
        </w:rPr>
        <w:t>2.</w:t>
      </w:r>
      <w:r w:rsidRPr="00B44A08">
        <w:rPr>
          <w:rFonts w:ascii="Verdana" w:eastAsia="Verdana" w:hAnsi="Verdana" w:cs="Verdana"/>
          <w:color w:val="000000"/>
          <w:sz w:val="20"/>
          <w:szCs w:val="20"/>
        </w:rPr>
        <w:t xml:space="preserve"> </w:t>
      </w:r>
      <w:r w:rsidR="00AD5BDF" w:rsidRPr="00B44A08">
        <w:rPr>
          <w:rFonts w:ascii="Verdana" w:eastAsia="Verdana" w:hAnsi="Verdana" w:cs="Verdana"/>
          <w:color w:val="000000"/>
          <w:sz w:val="20"/>
          <w:szCs w:val="20"/>
        </w:rPr>
        <w:t>defesa do tema</w:t>
      </w:r>
    </w:p>
    <w:p w14:paraId="5CC953AC" w14:textId="7A06AEA5" w:rsidR="00575434" w:rsidRDefault="00B44A08" w:rsidP="00B44A08">
      <w:pPr>
        <w:keepLines/>
        <w:pBdr>
          <w:top w:val="nil"/>
          <w:left w:val="nil"/>
          <w:bottom w:val="nil"/>
          <w:right w:val="nil"/>
          <w:between w:val="nil"/>
        </w:pBdr>
        <w:ind w:left="567"/>
        <w:rPr>
          <w:rFonts w:ascii="Verdana" w:eastAsia="Verdana" w:hAnsi="Verdana" w:cs="Verdana"/>
          <w:b/>
          <w:bCs/>
          <w:sz w:val="20"/>
          <w:szCs w:val="20"/>
          <w:u w:val="single"/>
        </w:rPr>
      </w:pPr>
      <w:r w:rsidRPr="00B44A08">
        <w:rPr>
          <w:rFonts w:ascii="Verdana" w:eastAsia="Verdana" w:hAnsi="Verdana" w:cs="Verdana"/>
          <w:color w:val="000000"/>
          <w:sz w:val="20"/>
          <w:szCs w:val="20"/>
        </w:rPr>
        <w:t>8.</w:t>
      </w:r>
      <w:r w:rsidR="00AD5BDF" w:rsidRPr="00B44A08">
        <w:rPr>
          <w:rFonts w:ascii="Verdana" w:eastAsia="Verdana" w:hAnsi="Verdana" w:cs="Verdana"/>
          <w:color w:val="000000"/>
          <w:sz w:val="20"/>
          <w:szCs w:val="20"/>
        </w:rPr>
        <w:t>3.</w:t>
      </w:r>
      <w:r w:rsidRPr="00B44A08">
        <w:rPr>
          <w:rFonts w:ascii="Verdana" w:eastAsia="Verdana" w:hAnsi="Verdana" w:cs="Verdana"/>
          <w:color w:val="000000"/>
          <w:sz w:val="20"/>
          <w:szCs w:val="20"/>
        </w:rPr>
        <w:t xml:space="preserve"> apresentação</w:t>
      </w:r>
      <w:r w:rsidR="00AD5BDF" w:rsidRPr="00B44A08">
        <w:rPr>
          <w:rFonts w:ascii="Verdana" w:eastAsia="Verdana" w:hAnsi="Verdana" w:cs="Verdana"/>
          <w:color w:val="000000"/>
          <w:sz w:val="20"/>
          <w:szCs w:val="20"/>
        </w:rPr>
        <w:t xml:space="preserve"> do trabalho</w:t>
      </w:r>
      <w:r w:rsidR="00AD5BDF">
        <w:br w:type="page"/>
      </w:r>
    </w:p>
    <w:p w14:paraId="329BCA3F" w14:textId="77777777" w:rsidR="00575434" w:rsidRDefault="00AD5BDF">
      <w:pPr>
        <w:keepLines/>
        <w:rPr>
          <w:rFonts w:ascii="Verdana" w:eastAsia="Verdana" w:hAnsi="Verdana" w:cs="Verdana"/>
          <w:b/>
          <w:bCs/>
          <w:sz w:val="20"/>
          <w:szCs w:val="20"/>
          <w:u w:val="single"/>
        </w:rPr>
      </w:pPr>
      <w:r>
        <w:rPr>
          <w:rFonts w:ascii="Verdana" w:eastAsia="Verdana" w:hAnsi="Verdana" w:cs="Verdana"/>
          <w:b/>
          <w:bCs/>
          <w:sz w:val="20"/>
          <w:szCs w:val="20"/>
          <w:u w:val="single"/>
        </w:rPr>
        <w:lastRenderedPageBreak/>
        <w:t>4. Bibliografia</w:t>
      </w:r>
    </w:p>
    <w:p w14:paraId="1DAAA7C8" w14:textId="77777777" w:rsidR="00575434" w:rsidRDefault="00575434"/>
    <w:p w14:paraId="36F375C7" w14:textId="77777777" w:rsidR="00575434" w:rsidRDefault="00AD5BDF">
      <w:pPr>
        <w:keepLines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A bibliografia de cada item do programa divide-se em dois grupos, básica e complementar, e será apresentada em aula. A lista abaixo contém as principais referências.</w:t>
      </w:r>
    </w:p>
    <w:p w14:paraId="34FA3021" w14:textId="77777777" w:rsidR="00575434" w:rsidRDefault="00575434"/>
    <w:p w14:paraId="7D153DD9" w14:textId="77777777" w:rsidR="00575434" w:rsidRDefault="00575434"/>
    <w:p w14:paraId="32F2A232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Ackley</w:t>
      </w:r>
      <w:proofErr w:type="spellEnd"/>
      <w:r>
        <w:rPr>
          <w:rFonts w:ascii="Verdana" w:eastAsia="Verdana" w:hAnsi="Verdana" w:cs="Verdana"/>
          <w:smallCaps/>
          <w:sz w:val="20"/>
          <w:szCs w:val="20"/>
        </w:rPr>
        <w:t xml:space="preserve">, </w:t>
      </w:r>
      <w:r>
        <w:rPr>
          <w:rFonts w:ascii="Verdana" w:eastAsia="Verdana" w:hAnsi="Verdana" w:cs="Verdana"/>
          <w:sz w:val="20"/>
          <w:szCs w:val="20"/>
        </w:rPr>
        <w:t xml:space="preserve">G. (1969). </w:t>
      </w:r>
      <w:r>
        <w:rPr>
          <w:rFonts w:ascii="Verdana" w:eastAsia="Verdana" w:hAnsi="Verdana" w:cs="Verdana"/>
          <w:i/>
          <w:iCs/>
          <w:sz w:val="20"/>
          <w:szCs w:val="20"/>
        </w:rPr>
        <w:t>Teoria Macroeconômica</w:t>
      </w:r>
      <w:r>
        <w:rPr>
          <w:rFonts w:ascii="Verdana" w:eastAsia="Verdana" w:hAnsi="Verdana" w:cs="Verdana"/>
          <w:sz w:val="20"/>
          <w:szCs w:val="20"/>
        </w:rPr>
        <w:t>. São Paulo: Pioneira.</w:t>
      </w:r>
    </w:p>
    <w:p w14:paraId="21453574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 xml:space="preserve">Bacha, </w:t>
      </w:r>
      <w:r>
        <w:rPr>
          <w:rFonts w:ascii="Verdana" w:eastAsia="Verdana" w:hAnsi="Verdana" w:cs="Verdana"/>
          <w:sz w:val="20"/>
          <w:szCs w:val="20"/>
        </w:rPr>
        <w:t>E. (1994).</w:t>
      </w:r>
      <w:r>
        <w:t xml:space="preserve"> </w:t>
      </w:r>
      <w:r>
        <w:rPr>
          <w:rFonts w:ascii="Verdana" w:eastAsia="Verdana" w:hAnsi="Verdana" w:cs="Verdana"/>
          <w:sz w:val="20"/>
          <w:szCs w:val="20"/>
        </w:rPr>
        <w:t xml:space="preserve">“O Fisco e a Inflação: uma interpretação do caso brasileiro”. </w:t>
      </w:r>
      <w:r>
        <w:rPr>
          <w:rFonts w:ascii="Verdana" w:eastAsia="Verdana" w:hAnsi="Verdana" w:cs="Verdana"/>
          <w:i/>
          <w:iCs/>
          <w:sz w:val="20"/>
          <w:szCs w:val="20"/>
        </w:rPr>
        <w:t>Revista de Economia Política</w:t>
      </w:r>
      <w:r>
        <w:rPr>
          <w:rFonts w:ascii="Verdana" w:eastAsia="Verdana" w:hAnsi="Verdana" w:cs="Verdana"/>
          <w:sz w:val="20"/>
          <w:szCs w:val="20"/>
        </w:rPr>
        <w:t>, Vol. 14, nº 1 (53), Janeiro-Março, pp. 5-17.</w:t>
      </w:r>
    </w:p>
    <w:p w14:paraId="77205C15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Baumol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W. (1952). “The </w:t>
      </w:r>
      <w:proofErr w:type="spellStart"/>
      <w:r>
        <w:rPr>
          <w:rFonts w:ascii="Verdana" w:eastAsia="Verdana" w:hAnsi="Verdana" w:cs="Verdana"/>
          <w:sz w:val="20"/>
          <w:szCs w:val="20"/>
        </w:rPr>
        <w:t>Transation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Demand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for Cash: </w:t>
      </w:r>
      <w:proofErr w:type="spellStart"/>
      <w:r>
        <w:rPr>
          <w:rFonts w:ascii="Verdana" w:eastAsia="Verdana" w:hAnsi="Verdana" w:cs="Verdana"/>
          <w:sz w:val="20"/>
          <w:szCs w:val="20"/>
        </w:rPr>
        <w:t>an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Inventory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Theoretical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Approach”.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Quarterly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Economics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November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pp. 545-56. Reproduzido in E. </w:t>
      </w:r>
      <w:r>
        <w:rPr>
          <w:rFonts w:ascii="Verdana" w:eastAsia="Verdana" w:hAnsi="Verdana" w:cs="Verdana"/>
          <w:smallCaps/>
          <w:sz w:val="20"/>
          <w:szCs w:val="20"/>
        </w:rPr>
        <w:t>Shapiro</w:t>
      </w:r>
      <w:r>
        <w:rPr>
          <w:rFonts w:ascii="Verdana" w:eastAsia="Verdana" w:hAnsi="Verdana" w:cs="Verdana"/>
          <w:sz w:val="20"/>
          <w:szCs w:val="20"/>
        </w:rPr>
        <w:t xml:space="preserve">, </w:t>
      </w:r>
      <w:r>
        <w:rPr>
          <w:rFonts w:ascii="Verdana" w:eastAsia="Verdana" w:hAnsi="Verdana" w:cs="Verdana"/>
          <w:i/>
          <w:iCs/>
          <w:sz w:val="20"/>
          <w:szCs w:val="20"/>
        </w:rPr>
        <w:t>Análise Macroeconômica: Leituras Selecionadas</w:t>
      </w:r>
      <w:r>
        <w:rPr>
          <w:rFonts w:ascii="Verdana" w:eastAsia="Verdana" w:hAnsi="Verdana" w:cs="Verdana"/>
          <w:sz w:val="20"/>
          <w:szCs w:val="20"/>
        </w:rPr>
        <w:t>. São Paulo: Atlas, 1985, Cap. 13.</w:t>
      </w:r>
    </w:p>
    <w:p w14:paraId="2F7993A1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Blanchard</w:t>
      </w:r>
      <w:r>
        <w:rPr>
          <w:rFonts w:ascii="Verdana" w:eastAsia="Verdana" w:hAnsi="Verdana" w:cs="Verdana"/>
          <w:sz w:val="20"/>
          <w:szCs w:val="20"/>
        </w:rPr>
        <w:t xml:space="preserve">, O. e </w:t>
      </w:r>
      <w:r>
        <w:rPr>
          <w:rFonts w:ascii="Verdana" w:eastAsia="Verdana" w:hAnsi="Verdana" w:cs="Verdana"/>
          <w:smallCaps/>
          <w:sz w:val="20"/>
          <w:szCs w:val="20"/>
        </w:rPr>
        <w:t>Fisher</w:t>
      </w:r>
      <w:r>
        <w:rPr>
          <w:rFonts w:ascii="Verdana" w:eastAsia="Verdana" w:hAnsi="Verdana" w:cs="Verdana"/>
          <w:sz w:val="20"/>
          <w:szCs w:val="20"/>
        </w:rPr>
        <w:t xml:space="preserve">, S. (1994).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Lectures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on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Macroeconomics</w:t>
      </w:r>
      <w:proofErr w:type="spellEnd"/>
      <w:r>
        <w:rPr>
          <w:rFonts w:ascii="Verdana" w:eastAsia="Verdana" w:hAnsi="Verdana" w:cs="Verdana"/>
          <w:sz w:val="20"/>
          <w:szCs w:val="20"/>
        </w:rPr>
        <w:t>. London: MIT Press.</w:t>
      </w:r>
    </w:p>
    <w:p w14:paraId="66216705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Braga</w:t>
      </w:r>
      <w:r>
        <w:rPr>
          <w:rFonts w:ascii="Verdana" w:eastAsia="Verdana" w:hAnsi="Verdana" w:cs="Verdana"/>
          <w:color w:val="000000"/>
          <w:sz w:val="20"/>
          <w:szCs w:val="20"/>
        </w:rPr>
        <w:t>, J. de M. (2011). “A inflação brasileira na década de 2000 e a importância de políticas não monetárias de controle.” Anais do 39º Encontro Nacional da ANPEC (Associação Nacional dos Cursos de Pós-Graduação em Economia): Foz do Iguaçu (PR), Dezembro.</w:t>
      </w:r>
    </w:p>
    <w:p w14:paraId="2A7A1B5C" w14:textId="77777777" w:rsidR="00575434" w:rsidRDefault="00AD5BDF">
      <w:pPr>
        <w:keepLines/>
        <w:ind w:left="567" w:hanging="567"/>
        <w:rPr>
          <w:rFonts w:ascii="Verdana" w:eastAsia="Verdana" w:hAnsi="Verdana" w:cs="Verdana"/>
          <w:smallCaps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 xml:space="preserve">Branson, W.H. (2010), </w:t>
      </w:r>
      <w:proofErr w:type="spellStart"/>
      <w:r>
        <w:rPr>
          <w:rFonts w:ascii="Verdana" w:eastAsia="Verdana" w:hAnsi="Verdana" w:cs="Verdana"/>
          <w:i/>
          <w:iCs/>
          <w:smallCaps/>
          <w:sz w:val="20"/>
          <w:szCs w:val="20"/>
        </w:rPr>
        <w:t>Macroeconomic</w:t>
      </w:r>
      <w:proofErr w:type="spellEnd"/>
      <w:r>
        <w:rPr>
          <w:rFonts w:ascii="Verdana" w:eastAsia="Verdana" w:hAnsi="Verdana" w:cs="Verdana"/>
          <w:i/>
          <w:iCs/>
          <w:smallCap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mallCaps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i/>
          <w:iCs/>
          <w:smallCap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mallCap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mallCap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mallCaps/>
          <w:sz w:val="20"/>
          <w:szCs w:val="20"/>
        </w:rPr>
        <w:t>Policy</w:t>
      </w:r>
      <w:proofErr w:type="spellEnd"/>
      <w:r>
        <w:rPr>
          <w:rFonts w:ascii="Verdana" w:eastAsia="Verdana" w:hAnsi="Verdana" w:cs="Verdana"/>
          <w:smallCaps/>
          <w:sz w:val="20"/>
          <w:szCs w:val="20"/>
        </w:rPr>
        <w:t xml:space="preserve">, 3rd ed. </w:t>
      </w:r>
    </w:p>
    <w:p w14:paraId="29786B85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Bruno</w:t>
      </w:r>
      <w:r>
        <w:rPr>
          <w:rFonts w:ascii="Verdana" w:eastAsia="Verdana" w:hAnsi="Verdana" w:cs="Verdana"/>
          <w:sz w:val="20"/>
          <w:szCs w:val="20"/>
        </w:rPr>
        <w:t xml:space="preserve">, M. (1991). “High </w:t>
      </w:r>
      <w:proofErr w:type="spellStart"/>
      <w:r>
        <w:rPr>
          <w:rFonts w:ascii="Verdana" w:eastAsia="Verdana" w:hAnsi="Verdana" w:cs="Verdana"/>
          <w:sz w:val="20"/>
          <w:szCs w:val="20"/>
        </w:rPr>
        <w:t>Inflation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Nominal </w:t>
      </w:r>
      <w:proofErr w:type="spellStart"/>
      <w:r>
        <w:rPr>
          <w:rFonts w:ascii="Verdana" w:eastAsia="Verdana" w:hAnsi="Verdana" w:cs="Verdana"/>
          <w:sz w:val="20"/>
          <w:szCs w:val="20"/>
        </w:rPr>
        <w:t>Anchors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an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Open </w:t>
      </w:r>
      <w:proofErr w:type="spellStart"/>
      <w:r>
        <w:rPr>
          <w:rFonts w:ascii="Verdana" w:eastAsia="Verdana" w:hAnsi="Verdana" w:cs="Verdana"/>
          <w:sz w:val="20"/>
          <w:szCs w:val="20"/>
        </w:rPr>
        <w:t>Economy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Essays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in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International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Finance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n° 183. Princeton </w:t>
      </w:r>
      <w:proofErr w:type="spellStart"/>
      <w:r>
        <w:rPr>
          <w:rFonts w:ascii="Verdana" w:eastAsia="Verdana" w:hAnsi="Verdana" w:cs="Verdana"/>
          <w:sz w:val="20"/>
          <w:szCs w:val="20"/>
        </w:rPr>
        <w:t>University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June</w:t>
      </w:r>
      <w:proofErr w:type="spellEnd"/>
      <w:r>
        <w:rPr>
          <w:rFonts w:ascii="Verdana" w:eastAsia="Verdana" w:hAnsi="Verdana" w:cs="Verdana"/>
          <w:sz w:val="20"/>
          <w:szCs w:val="20"/>
        </w:rPr>
        <w:t>.</w:t>
      </w:r>
    </w:p>
    <w:p w14:paraId="0BC191A8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Cargill</w:t>
      </w:r>
      <w:r>
        <w:rPr>
          <w:rFonts w:ascii="Verdana" w:eastAsia="Verdana" w:hAnsi="Verdana" w:cs="Verdana"/>
          <w:sz w:val="20"/>
          <w:szCs w:val="20"/>
        </w:rPr>
        <w:t xml:space="preserve">, T. (1983).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Money,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Financial System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Monetary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Policy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Prentice-Hall. </w:t>
      </w:r>
    </w:p>
    <w:p w14:paraId="1BFD8052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Carvalho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Carlos E. (2000). “As finanças públicas no Plano Real”. In: Ricardo Carneiro (Org.), </w:t>
      </w:r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>Gestão estatal no Brasil: Armadilhas da Estabilização 1995-1998</w:t>
      </w:r>
      <w:r>
        <w:rPr>
          <w:rFonts w:ascii="Verdana" w:eastAsia="Verdana" w:hAnsi="Verdana" w:cs="Verdana"/>
          <w:color w:val="000000"/>
          <w:sz w:val="20"/>
          <w:szCs w:val="20"/>
        </w:rPr>
        <w:t>. São Paulo: Edições Fundap, pp. 196-236.</w:t>
      </w:r>
    </w:p>
    <w:p w14:paraId="67309CA8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Carvalho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Carlos E. (2004). “Finanças públicas e estabilização no Plano Real: uma reinterpretação”. </w:t>
      </w:r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>Anais do IX Encontro Nacional de Economia Política</w:t>
      </w:r>
      <w:r>
        <w:rPr>
          <w:rFonts w:ascii="Verdana" w:eastAsia="Verdana" w:hAnsi="Verdana" w:cs="Verdana"/>
          <w:color w:val="000000"/>
          <w:sz w:val="20"/>
          <w:szCs w:val="20"/>
        </w:rPr>
        <w:t>. Uberlândia: Sociedade Brasileira de Economia Política - Instituto de Economia da Universidade Federal de Uberlândia.</w:t>
      </w:r>
    </w:p>
    <w:p w14:paraId="4EF6D530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Carvalho, F. J.</w:t>
      </w:r>
      <w:r>
        <w:rPr>
          <w:rFonts w:ascii="Verdana" w:eastAsia="Verdana" w:hAnsi="Verdana" w:cs="Verdana"/>
          <w:sz w:val="20"/>
          <w:szCs w:val="20"/>
        </w:rPr>
        <w:t xml:space="preserve"> Cardim de (1992).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Mr. Keynes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Post-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Keynesians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</w:t>
      </w:r>
      <w:proofErr w:type="spellStart"/>
      <w:r>
        <w:rPr>
          <w:rFonts w:ascii="Verdana" w:eastAsia="Verdana" w:hAnsi="Verdana" w:cs="Verdana"/>
          <w:sz w:val="20"/>
          <w:szCs w:val="20"/>
        </w:rPr>
        <w:t>Cheltenham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: Edward </w:t>
      </w:r>
      <w:proofErr w:type="spellStart"/>
      <w:r>
        <w:rPr>
          <w:rFonts w:ascii="Verdana" w:eastAsia="Verdana" w:hAnsi="Verdana" w:cs="Verdana"/>
          <w:sz w:val="20"/>
          <w:szCs w:val="20"/>
        </w:rPr>
        <w:t>Elgar</w:t>
      </w:r>
      <w:proofErr w:type="spellEnd"/>
      <w:r>
        <w:rPr>
          <w:rFonts w:ascii="Verdana" w:eastAsia="Verdana" w:hAnsi="Verdana" w:cs="Verdana"/>
          <w:sz w:val="20"/>
          <w:szCs w:val="20"/>
        </w:rPr>
        <w:t>.</w:t>
      </w:r>
    </w:p>
    <w:p w14:paraId="6E5D6B73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Carvalho, F. J.</w:t>
      </w:r>
      <w:r>
        <w:rPr>
          <w:rFonts w:ascii="Verdana" w:eastAsia="Verdana" w:hAnsi="Verdana" w:cs="Verdana"/>
          <w:sz w:val="20"/>
          <w:szCs w:val="20"/>
        </w:rPr>
        <w:t xml:space="preserve"> Cardim de (1990). “Alta Inflação e Hiperinflação: uma visão pós-keynesiana”, </w:t>
      </w:r>
      <w:r>
        <w:rPr>
          <w:rFonts w:ascii="Verdana" w:eastAsia="Verdana" w:hAnsi="Verdana" w:cs="Verdana"/>
          <w:i/>
          <w:iCs/>
          <w:sz w:val="20"/>
          <w:szCs w:val="20"/>
        </w:rPr>
        <w:t>Revista de Economia Política</w:t>
      </w:r>
      <w:r>
        <w:rPr>
          <w:rFonts w:ascii="Verdana" w:eastAsia="Verdana" w:hAnsi="Verdana" w:cs="Verdana"/>
          <w:sz w:val="20"/>
          <w:szCs w:val="20"/>
        </w:rPr>
        <w:t>, Vol. 10, n° 4 (40), Out-Dez, pp. 62-82.</w:t>
      </w:r>
    </w:p>
    <w:p w14:paraId="10F012E4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Carvalho, F. J.</w:t>
      </w:r>
      <w:r>
        <w:rPr>
          <w:rFonts w:ascii="Verdana" w:eastAsia="Verdana" w:hAnsi="Verdana" w:cs="Verdana"/>
          <w:sz w:val="20"/>
          <w:szCs w:val="20"/>
        </w:rPr>
        <w:t xml:space="preserve"> Cardim de (1995). “Estabilização, Ancoragem de Preços e Política de Rendas”. </w:t>
      </w:r>
      <w:r>
        <w:rPr>
          <w:rFonts w:ascii="Verdana" w:eastAsia="Verdana" w:hAnsi="Verdana" w:cs="Verdana"/>
          <w:i/>
          <w:iCs/>
          <w:sz w:val="20"/>
          <w:szCs w:val="20"/>
        </w:rPr>
        <w:t>Novos Estudos Cebrap</w:t>
      </w:r>
      <w:r>
        <w:rPr>
          <w:rFonts w:ascii="Verdana" w:eastAsia="Verdana" w:hAnsi="Verdana" w:cs="Verdana"/>
          <w:sz w:val="20"/>
          <w:szCs w:val="20"/>
        </w:rPr>
        <w:t>, nº 41, Março, pp. 143-49.</w:t>
      </w:r>
    </w:p>
    <w:p w14:paraId="65116EE5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Carvalho, F. J.</w:t>
      </w:r>
      <w:r>
        <w:rPr>
          <w:rFonts w:ascii="Verdana" w:eastAsia="Verdana" w:hAnsi="Verdana" w:cs="Verdana"/>
          <w:sz w:val="20"/>
          <w:szCs w:val="20"/>
        </w:rPr>
        <w:t xml:space="preserve"> Cardim de (1996). “</w:t>
      </w:r>
      <w:proofErr w:type="spellStart"/>
      <w:r>
        <w:rPr>
          <w:rFonts w:ascii="Verdana" w:eastAsia="Verdana" w:hAnsi="Verdana" w:cs="Verdana"/>
          <w:sz w:val="20"/>
          <w:szCs w:val="20"/>
        </w:rPr>
        <w:t>Sorting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Out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Issues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: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Two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Debates </w:t>
      </w:r>
      <w:proofErr w:type="spellStart"/>
      <w:r>
        <w:rPr>
          <w:rFonts w:ascii="Verdana" w:eastAsia="Verdana" w:hAnsi="Verdana" w:cs="Verdana"/>
          <w:sz w:val="20"/>
          <w:szCs w:val="20"/>
        </w:rPr>
        <w:t>on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Keynes's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Finance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Motive </w:t>
      </w:r>
      <w:proofErr w:type="spellStart"/>
      <w:r>
        <w:rPr>
          <w:rFonts w:ascii="Verdana" w:eastAsia="Verdana" w:hAnsi="Verdana" w:cs="Verdana"/>
          <w:sz w:val="20"/>
          <w:szCs w:val="20"/>
        </w:rPr>
        <w:t>Revisited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”. </w:t>
      </w:r>
      <w:r>
        <w:rPr>
          <w:rFonts w:ascii="Verdana" w:eastAsia="Verdana" w:hAnsi="Verdana" w:cs="Verdana"/>
          <w:i/>
          <w:iCs/>
          <w:sz w:val="20"/>
          <w:szCs w:val="20"/>
        </w:rPr>
        <w:t>Revista Brasileira de Economia</w:t>
      </w:r>
      <w:r>
        <w:rPr>
          <w:rFonts w:ascii="Verdana" w:eastAsia="Verdana" w:hAnsi="Verdana" w:cs="Verdana"/>
          <w:sz w:val="20"/>
          <w:szCs w:val="20"/>
        </w:rPr>
        <w:t>, 50 (3), Julho-Setembro.</w:t>
      </w:r>
    </w:p>
    <w:p w14:paraId="68D83EA0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Carvalho, F. J.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 Cardim de;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Souza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F. E. P. de;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Sicsú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J.; Paula, L. F. R. de; e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Studart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R. (2007). </w:t>
      </w:r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>Economia Monetária e Financeira: Teoria e Política</w:t>
      </w:r>
      <w:r>
        <w:rPr>
          <w:rFonts w:ascii="Verdana" w:eastAsia="Verdana" w:hAnsi="Verdana" w:cs="Verdana"/>
          <w:color w:val="000000"/>
          <w:sz w:val="20"/>
          <w:szCs w:val="20"/>
        </w:rPr>
        <w:t>. Rio de Janeiro: Campus.</w:t>
      </w:r>
    </w:p>
    <w:p w14:paraId="4AE76E7E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Castro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L. B. de (1999). </w:t>
      </w:r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 xml:space="preserve">História Precoce das </w:t>
      </w:r>
      <w:proofErr w:type="spellStart"/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>Idéias</w:t>
      </w:r>
      <w:proofErr w:type="spellEnd"/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 xml:space="preserve"> do Plano Real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 Dissertação de Mestrado. Rio de Janeiro: Instituto de Economia da Universidade Federal do Rio de Janeiro (IE/UFRJ). </w:t>
      </w:r>
    </w:p>
    <w:p w14:paraId="2B86C6F8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Davidson</w:t>
      </w:r>
      <w:r>
        <w:rPr>
          <w:rFonts w:ascii="Verdana" w:eastAsia="Verdana" w:hAnsi="Verdana" w:cs="Verdana"/>
          <w:sz w:val="20"/>
          <w:szCs w:val="20"/>
        </w:rPr>
        <w:t xml:space="preserve">, P. (1994). </w:t>
      </w:r>
      <w:r>
        <w:rPr>
          <w:rFonts w:ascii="Verdana" w:eastAsia="Verdana" w:hAnsi="Verdana" w:cs="Verdana"/>
          <w:i/>
          <w:iCs/>
          <w:sz w:val="20"/>
          <w:szCs w:val="20"/>
        </w:rPr>
        <w:t>Post-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Keynesian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Macroeconomic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</w:t>
      </w:r>
      <w:proofErr w:type="spellStart"/>
      <w:r>
        <w:rPr>
          <w:rFonts w:ascii="Verdana" w:eastAsia="Verdana" w:hAnsi="Verdana" w:cs="Verdana"/>
          <w:sz w:val="20"/>
          <w:szCs w:val="20"/>
        </w:rPr>
        <w:t>Cheltenham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: Edward </w:t>
      </w:r>
      <w:proofErr w:type="spellStart"/>
      <w:r>
        <w:rPr>
          <w:rFonts w:ascii="Verdana" w:eastAsia="Verdana" w:hAnsi="Verdana" w:cs="Verdana"/>
          <w:sz w:val="20"/>
          <w:szCs w:val="20"/>
        </w:rPr>
        <w:t>Elgar</w:t>
      </w:r>
      <w:proofErr w:type="spellEnd"/>
      <w:r>
        <w:rPr>
          <w:rFonts w:ascii="Verdana" w:eastAsia="Verdana" w:hAnsi="Verdana" w:cs="Verdana"/>
          <w:sz w:val="20"/>
          <w:szCs w:val="20"/>
        </w:rPr>
        <w:t>.</w:t>
      </w:r>
    </w:p>
    <w:p w14:paraId="6C8BE0D9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lastRenderedPageBreak/>
        <w:t>Davidson</w:t>
      </w:r>
      <w:r>
        <w:rPr>
          <w:rFonts w:ascii="Verdana" w:eastAsia="Verdana" w:hAnsi="Verdana" w:cs="Verdana"/>
          <w:sz w:val="20"/>
          <w:szCs w:val="20"/>
        </w:rPr>
        <w:t>, P. (1999). “Colocando as Evidências em Ordem: macroeconomia de Keynes versus velho e novo-keynesianismo”, in G. T. Lima, J. Sicsú e L. F. de Paula  (</w:t>
      </w:r>
      <w:proofErr w:type="spellStart"/>
      <w:r>
        <w:rPr>
          <w:rFonts w:ascii="Verdana" w:eastAsia="Verdana" w:hAnsi="Verdana" w:cs="Verdana"/>
          <w:sz w:val="20"/>
          <w:szCs w:val="20"/>
        </w:rPr>
        <w:t>Orgs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.),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Macroeoconomia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Moderna: Keynes e a economia contemporânea</w:t>
      </w:r>
      <w:r>
        <w:rPr>
          <w:rFonts w:ascii="Verdana" w:eastAsia="Verdana" w:hAnsi="Verdana" w:cs="Verdana"/>
          <w:sz w:val="20"/>
          <w:szCs w:val="20"/>
        </w:rPr>
        <w:t>. Rio de Janeiro: Campus, Cap. 1.</w:t>
      </w:r>
    </w:p>
    <w:p w14:paraId="4D3DCCFB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Deane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P. (1980).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Evolução das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Idéias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Econômicas</w:t>
      </w:r>
      <w:r>
        <w:rPr>
          <w:rFonts w:ascii="Verdana" w:eastAsia="Verdana" w:hAnsi="Verdana" w:cs="Verdana"/>
          <w:sz w:val="20"/>
          <w:szCs w:val="20"/>
        </w:rPr>
        <w:t>. Rio de Janeiro: Zahar.</w:t>
      </w:r>
    </w:p>
    <w:p w14:paraId="56EDA59B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Franco</w:t>
      </w:r>
      <w:r>
        <w:rPr>
          <w:rFonts w:ascii="Verdana" w:eastAsia="Verdana" w:hAnsi="Verdana" w:cs="Verdana"/>
          <w:sz w:val="20"/>
          <w:szCs w:val="20"/>
        </w:rPr>
        <w:t xml:space="preserve">, G. (2005). “Auge e Declínio do Inflacionismo no Brasil” in F. Giambiagi, A. Villela, J. Hermann e L. B. de Castro, </w:t>
      </w:r>
      <w:r>
        <w:rPr>
          <w:rFonts w:ascii="Verdana" w:eastAsia="Verdana" w:hAnsi="Verdana" w:cs="Verdana"/>
          <w:i/>
          <w:iCs/>
          <w:sz w:val="20"/>
          <w:szCs w:val="20"/>
        </w:rPr>
        <w:t>Economia Brasileira Contemporânea (1945-2004)</w:t>
      </w:r>
      <w:r>
        <w:rPr>
          <w:rFonts w:ascii="Verdana" w:eastAsia="Verdana" w:hAnsi="Verdana" w:cs="Verdana"/>
          <w:sz w:val="20"/>
          <w:szCs w:val="20"/>
        </w:rPr>
        <w:t>. Rio de Janeiro: Campus, Cap.10, pp. 258-83.</w:t>
      </w:r>
    </w:p>
    <w:p w14:paraId="75F6FEC7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Friedman</w:t>
      </w:r>
      <w:r>
        <w:rPr>
          <w:rFonts w:ascii="Verdana" w:eastAsia="Verdana" w:hAnsi="Verdana" w:cs="Verdana"/>
          <w:sz w:val="20"/>
          <w:szCs w:val="20"/>
        </w:rPr>
        <w:t xml:space="preserve">, M. (1956). “The </w:t>
      </w:r>
      <w:proofErr w:type="spellStart"/>
      <w:r>
        <w:rPr>
          <w:rFonts w:ascii="Verdana" w:eastAsia="Verdana" w:hAnsi="Verdana" w:cs="Verdana"/>
          <w:sz w:val="20"/>
          <w:szCs w:val="20"/>
        </w:rPr>
        <w:t>Quantity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Money: a </w:t>
      </w:r>
      <w:proofErr w:type="spellStart"/>
      <w:r>
        <w:rPr>
          <w:rFonts w:ascii="Verdana" w:eastAsia="Verdana" w:hAnsi="Verdana" w:cs="Verdana"/>
          <w:sz w:val="20"/>
          <w:szCs w:val="20"/>
        </w:rPr>
        <w:t>Restatement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 in M. Friedman,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Studies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in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Quantity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Money</w:t>
      </w:r>
      <w:r>
        <w:rPr>
          <w:rFonts w:ascii="Verdana" w:eastAsia="Verdana" w:hAnsi="Verdana" w:cs="Verdana"/>
          <w:sz w:val="20"/>
          <w:szCs w:val="20"/>
        </w:rPr>
        <w:t xml:space="preserve">. </w:t>
      </w:r>
      <w:proofErr w:type="spellStart"/>
      <w:r>
        <w:rPr>
          <w:rFonts w:ascii="Verdana" w:eastAsia="Verdana" w:hAnsi="Verdana" w:cs="Verdana"/>
          <w:sz w:val="20"/>
          <w:szCs w:val="20"/>
        </w:rPr>
        <w:t>University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 Chicago Press.</w:t>
      </w:r>
    </w:p>
    <w:p w14:paraId="1F98FF79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Friedman</w:t>
      </w:r>
      <w:r>
        <w:rPr>
          <w:rFonts w:ascii="Verdana" w:eastAsia="Verdana" w:hAnsi="Verdana" w:cs="Verdana"/>
          <w:sz w:val="20"/>
          <w:szCs w:val="20"/>
        </w:rPr>
        <w:t>, M. (1983). “</w:t>
      </w:r>
      <w:proofErr w:type="spellStart"/>
      <w:r>
        <w:rPr>
          <w:rFonts w:ascii="Verdana" w:eastAsia="Verdana" w:hAnsi="Verdana" w:cs="Verdana"/>
          <w:sz w:val="20"/>
          <w:szCs w:val="20"/>
        </w:rPr>
        <w:t>Factors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Affecting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Level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Interest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Rates”, in T. </w:t>
      </w:r>
      <w:proofErr w:type="spellStart"/>
      <w:r>
        <w:rPr>
          <w:rFonts w:ascii="Verdana" w:eastAsia="Verdana" w:hAnsi="Verdana" w:cs="Verdana"/>
          <w:sz w:val="20"/>
          <w:szCs w:val="20"/>
        </w:rPr>
        <w:t>Havrilesky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e R. Schweitzer (ed.),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Contemporary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Developments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in Financial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Intitutions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Markets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Harlan-Davidson. </w:t>
      </w:r>
      <w:proofErr w:type="spellStart"/>
      <w:r>
        <w:rPr>
          <w:rFonts w:ascii="Verdana" w:eastAsia="Verdana" w:hAnsi="Verdana" w:cs="Verdana"/>
          <w:sz w:val="20"/>
          <w:szCs w:val="20"/>
        </w:rPr>
        <w:t>Reprinted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from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Proceedings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1968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Conference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on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Savings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Residential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Financing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sponsored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by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United States </w:t>
      </w:r>
      <w:proofErr w:type="spellStart"/>
      <w:r>
        <w:rPr>
          <w:rFonts w:ascii="Verdana" w:eastAsia="Verdana" w:hAnsi="Verdana" w:cs="Verdana"/>
          <w:sz w:val="20"/>
          <w:szCs w:val="20"/>
        </w:rPr>
        <w:t>Savings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Loan League (Chicago: The League, 1969), pp. 11-27.</w:t>
      </w:r>
    </w:p>
    <w:p w14:paraId="4B8D7D14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color w:val="000000"/>
          <w:sz w:val="20"/>
          <w:szCs w:val="20"/>
        </w:rPr>
        <w:t>Froyen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, R. (2001). Macroeconomia. Rio de Janeiro: Saraiva. </w:t>
      </w:r>
    </w:p>
    <w:p w14:paraId="0E0443FB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Hermann</w:t>
      </w:r>
      <w:r>
        <w:rPr>
          <w:rFonts w:ascii="Verdana" w:eastAsia="Verdana" w:hAnsi="Verdana" w:cs="Verdana"/>
          <w:sz w:val="20"/>
          <w:szCs w:val="20"/>
        </w:rPr>
        <w:t xml:space="preserve">, J. (1999). “Ancoragem Cambial em Ambiente de Elevada Mobilidade Internacional do Capital: alcance, limites e soluções”. </w:t>
      </w:r>
      <w:r>
        <w:rPr>
          <w:rFonts w:ascii="Verdana" w:eastAsia="Verdana" w:hAnsi="Verdana" w:cs="Verdana"/>
          <w:i/>
          <w:iCs/>
          <w:sz w:val="20"/>
          <w:szCs w:val="20"/>
        </w:rPr>
        <w:t>Estudos Econômicos</w:t>
      </w:r>
      <w:r>
        <w:rPr>
          <w:rFonts w:ascii="Verdana" w:eastAsia="Verdana" w:hAnsi="Verdana" w:cs="Verdana"/>
          <w:sz w:val="20"/>
          <w:szCs w:val="20"/>
        </w:rPr>
        <w:t>, Vol. 29, n° 4, pp. 475-511.</w:t>
      </w:r>
    </w:p>
    <w:p w14:paraId="54B0B43F" w14:textId="77777777" w:rsidR="00575434" w:rsidRDefault="00AD5BDF">
      <w:pPr>
        <w:keepLines/>
        <w:ind w:left="567" w:hanging="567"/>
        <w:rPr>
          <w:rFonts w:ascii="Verdana" w:eastAsia="Verdana" w:hAnsi="Verdana" w:cs="Verdana"/>
          <w:smallCaps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Hermann</w:t>
      </w:r>
      <w:r>
        <w:rPr>
          <w:rFonts w:ascii="Verdana" w:eastAsia="Verdana" w:hAnsi="Verdana" w:cs="Verdana"/>
          <w:sz w:val="20"/>
          <w:szCs w:val="20"/>
        </w:rPr>
        <w:t xml:space="preserve">, J. (2000). “O Modelo de Racionamento de Crédito e a Política Monetária Novo-Keynesiana: uma análise crítica”. </w:t>
      </w:r>
      <w:r>
        <w:rPr>
          <w:rFonts w:ascii="Verdana" w:eastAsia="Verdana" w:hAnsi="Verdana" w:cs="Verdana"/>
          <w:i/>
          <w:iCs/>
          <w:sz w:val="20"/>
          <w:szCs w:val="20"/>
        </w:rPr>
        <w:t>Revista de Economia Política</w:t>
      </w:r>
      <w:r>
        <w:rPr>
          <w:rFonts w:ascii="Verdana" w:eastAsia="Verdana" w:hAnsi="Verdana" w:cs="Verdana"/>
          <w:sz w:val="20"/>
          <w:szCs w:val="20"/>
        </w:rPr>
        <w:t>, Vol. 20, nº 2 (78), Abril-Junho, pp. 53-75.</w:t>
      </w:r>
    </w:p>
    <w:p w14:paraId="19FFBA58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Hermann</w:t>
      </w:r>
      <w:r>
        <w:rPr>
          <w:rFonts w:ascii="Verdana" w:eastAsia="Verdana" w:hAnsi="Verdana" w:cs="Verdana"/>
          <w:sz w:val="20"/>
          <w:szCs w:val="20"/>
        </w:rPr>
        <w:t xml:space="preserve">, J. (2004). “O Trade Off do Crescimento no Brasil nos Anos 1990-2000: análise crítica e alternativas de política monetária”. </w:t>
      </w:r>
      <w:r>
        <w:rPr>
          <w:rFonts w:ascii="Verdana" w:eastAsia="Verdana" w:hAnsi="Verdana" w:cs="Verdana"/>
          <w:i/>
          <w:iCs/>
          <w:sz w:val="20"/>
          <w:szCs w:val="20"/>
        </w:rPr>
        <w:t>Revista Econômica</w:t>
      </w:r>
      <w:r>
        <w:rPr>
          <w:rFonts w:ascii="Verdana" w:eastAsia="Verdana" w:hAnsi="Verdana" w:cs="Verdana"/>
          <w:sz w:val="20"/>
          <w:szCs w:val="20"/>
        </w:rPr>
        <w:t>, Vol. 6, nº 2, Dezembro 2004, pp. 261-289.</w:t>
      </w:r>
    </w:p>
    <w:p w14:paraId="029C7333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Hicks</w:t>
      </w:r>
      <w:r>
        <w:rPr>
          <w:rFonts w:ascii="Verdana" w:eastAsia="Verdana" w:hAnsi="Verdana" w:cs="Verdana"/>
          <w:sz w:val="20"/>
          <w:szCs w:val="20"/>
        </w:rPr>
        <w:t xml:space="preserve"> (19xx), </w:t>
      </w:r>
      <w:r>
        <w:rPr>
          <w:rFonts w:ascii="Verdana" w:eastAsia="Verdana" w:hAnsi="Verdana" w:cs="Verdana"/>
          <w:i/>
          <w:iCs/>
          <w:sz w:val="20"/>
          <w:szCs w:val="20"/>
        </w:rPr>
        <w:t>Perspectivas Econômicas</w:t>
      </w:r>
      <w:r>
        <w:rPr>
          <w:rFonts w:ascii="Verdana" w:eastAsia="Verdana" w:hAnsi="Verdana" w:cs="Verdana"/>
          <w:sz w:val="20"/>
          <w:szCs w:val="20"/>
        </w:rPr>
        <w:t>. Rio de Janeiro: Zahar.</w:t>
      </w:r>
    </w:p>
    <w:p w14:paraId="46FC2BF7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Keynes</w:t>
      </w:r>
      <w:r>
        <w:rPr>
          <w:rFonts w:ascii="Verdana" w:eastAsia="Verdana" w:hAnsi="Verdana" w:cs="Verdana"/>
          <w:sz w:val="20"/>
          <w:szCs w:val="20"/>
        </w:rPr>
        <w:t xml:space="preserve">, J. M. (1979). “A </w:t>
      </w:r>
      <w:proofErr w:type="spellStart"/>
      <w:r>
        <w:rPr>
          <w:rFonts w:ascii="Verdana" w:eastAsia="Verdana" w:hAnsi="Verdana" w:cs="Verdana"/>
          <w:sz w:val="20"/>
          <w:szCs w:val="20"/>
        </w:rPr>
        <w:t>Treatise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Money” (publicação original de 1930), in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The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Collected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Writings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John Maynard Keynes</w:t>
      </w:r>
      <w:r>
        <w:rPr>
          <w:rFonts w:ascii="Verdana" w:eastAsia="Verdana" w:hAnsi="Verdana" w:cs="Verdana"/>
          <w:sz w:val="20"/>
          <w:szCs w:val="20"/>
        </w:rPr>
        <w:t xml:space="preserve">, Vol. 5-6. London: </w:t>
      </w:r>
      <w:proofErr w:type="spellStart"/>
      <w:r>
        <w:rPr>
          <w:rFonts w:ascii="Verdana" w:eastAsia="Verdana" w:hAnsi="Verdana" w:cs="Verdana"/>
          <w:sz w:val="20"/>
          <w:szCs w:val="20"/>
        </w:rPr>
        <w:t>MacMillan</w:t>
      </w:r>
      <w:proofErr w:type="spellEnd"/>
      <w:r>
        <w:rPr>
          <w:rFonts w:ascii="Verdana" w:eastAsia="Verdana" w:hAnsi="Verdana" w:cs="Verdana"/>
          <w:sz w:val="20"/>
          <w:szCs w:val="20"/>
        </w:rPr>
        <w:t>. Cap. 1-2.</w:t>
      </w:r>
    </w:p>
    <w:p w14:paraId="532F84AA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Keynes</w:t>
      </w:r>
      <w:r>
        <w:rPr>
          <w:rFonts w:ascii="Verdana" w:eastAsia="Verdana" w:hAnsi="Verdana" w:cs="Verdana"/>
          <w:sz w:val="20"/>
          <w:szCs w:val="20"/>
        </w:rPr>
        <w:t xml:space="preserve">, J. M. (1936/85).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The General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Employment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Interest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Money</w:t>
      </w:r>
      <w:r>
        <w:rPr>
          <w:rFonts w:ascii="Verdana" w:eastAsia="Verdana" w:hAnsi="Verdana" w:cs="Verdana"/>
          <w:sz w:val="20"/>
          <w:szCs w:val="20"/>
        </w:rPr>
        <w:t xml:space="preserve">. London: </w:t>
      </w:r>
      <w:proofErr w:type="spellStart"/>
      <w:r>
        <w:rPr>
          <w:rFonts w:ascii="Verdana" w:eastAsia="Verdana" w:hAnsi="Verdana" w:cs="Verdana"/>
          <w:sz w:val="20"/>
          <w:szCs w:val="20"/>
        </w:rPr>
        <w:t>MacMillan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Ed. em português: Keynes, J. M. (1985). </w:t>
      </w:r>
      <w:r>
        <w:rPr>
          <w:rFonts w:ascii="Verdana" w:eastAsia="Verdana" w:hAnsi="Verdana" w:cs="Verdana"/>
          <w:i/>
          <w:iCs/>
          <w:sz w:val="20"/>
          <w:szCs w:val="20"/>
        </w:rPr>
        <w:t>A Teoria Geral do Emprego, do Juro e da Moeda</w:t>
      </w:r>
      <w:r>
        <w:rPr>
          <w:rFonts w:ascii="Verdana" w:eastAsia="Verdana" w:hAnsi="Verdana" w:cs="Verdana"/>
          <w:sz w:val="20"/>
          <w:szCs w:val="20"/>
        </w:rPr>
        <w:t>. São Paulo: Nova Cultural, 1985.</w:t>
      </w:r>
    </w:p>
    <w:p w14:paraId="610147BF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Keynes</w:t>
      </w:r>
      <w:r>
        <w:rPr>
          <w:rFonts w:ascii="Verdana" w:eastAsia="Verdana" w:hAnsi="Verdana" w:cs="Verdana"/>
          <w:sz w:val="20"/>
          <w:szCs w:val="20"/>
        </w:rPr>
        <w:t>, J. M. (1937a). “</w:t>
      </w:r>
      <w:proofErr w:type="spellStart"/>
      <w:r>
        <w:rPr>
          <w:rFonts w:ascii="Verdana" w:eastAsia="Verdana" w:hAnsi="Verdana" w:cs="Verdana"/>
          <w:sz w:val="20"/>
          <w:szCs w:val="20"/>
        </w:rPr>
        <w:t>Alternative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Theories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Rate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Interest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Economic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Journal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June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</w:t>
      </w:r>
    </w:p>
    <w:p w14:paraId="092A4A00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Keynes</w:t>
      </w:r>
      <w:r>
        <w:rPr>
          <w:rFonts w:ascii="Verdana" w:eastAsia="Verdana" w:hAnsi="Verdana" w:cs="Verdana"/>
          <w:sz w:val="20"/>
          <w:szCs w:val="20"/>
        </w:rPr>
        <w:t xml:space="preserve">, J. M. (1937b). “The </w:t>
      </w:r>
      <w:proofErr w:type="spellStart"/>
      <w:r>
        <w:rPr>
          <w:rFonts w:ascii="Verdana" w:eastAsia="Verdana" w:hAnsi="Verdana" w:cs="Verdana"/>
          <w:sz w:val="20"/>
          <w:szCs w:val="20"/>
        </w:rPr>
        <w:t>Ex-Ante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Rate </w:t>
      </w:r>
      <w:proofErr w:type="spellStart"/>
      <w:r>
        <w:rPr>
          <w:rFonts w:ascii="Verdana" w:eastAsia="Verdana" w:hAnsi="Verdana" w:cs="Verdana"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Interest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Economic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Journal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December</w:t>
      </w:r>
      <w:proofErr w:type="spellEnd"/>
      <w:r>
        <w:rPr>
          <w:rFonts w:ascii="Verdana" w:eastAsia="Verdana" w:hAnsi="Verdana" w:cs="Verdana"/>
          <w:sz w:val="20"/>
          <w:szCs w:val="20"/>
        </w:rPr>
        <w:t>.</w:t>
      </w:r>
    </w:p>
    <w:p w14:paraId="36658CC9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Keynes</w:t>
      </w:r>
      <w:r>
        <w:rPr>
          <w:rFonts w:ascii="Verdana" w:eastAsia="Verdana" w:hAnsi="Verdana" w:cs="Verdana"/>
          <w:sz w:val="20"/>
          <w:szCs w:val="20"/>
        </w:rPr>
        <w:t xml:space="preserve">, J. M. (1939/85). “Movimentos relativos dos salários reais e da produção”.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Economic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Journal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March</w:t>
      </w:r>
      <w:proofErr w:type="spellEnd"/>
      <w:r>
        <w:rPr>
          <w:rFonts w:ascii="Verdana" w:eastAsia="Verdana" w:hAnsi="Verdana" w:cs="Verdana"/>
          <w:sz w:val="20"/>
          <w:szCs w:val="20"/>
        </w:rPr>
        <w:t>, ed. em português: Keynes, J. M. (1985),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 A Teoria Geral do Emprego, do Juro e da Moeda</w:t>
      </w:r>
      <w:r>
        <w:rPr>
          <w:rFonts w:ascii="Verdana" w:eastAsia="Verdana" w:hAnsi="Verdana" w:cs="Verdana"/>
          <w:sz w:val="20"/>
          <w:szCs w:val="20"/>
        </w:rPr>
        <w:t>, Apêndice 2, pp. 273-287. São Paulo: Nova Cultural, 1985.</w:t>
      </w:r>
    </w:p>
    <w:p w14:paraId="70D6C9FE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Lima</w:t>
      </w:r>
      <w:r>
        <w:rPr>
          <w:rFonts w:ascii="Verdana" w:eastAsia="Verdana" w:hAnsi="Verdana" w:cs="Verdana"/>
          <w:sz w:val="20"/>
          <w:szCs w:val="20"/>
        </w:rPr>
        <w:t xml:space="preserve">, Lívia C. (2010). </w:t>
      </w:r>
      <w:r>
        <w:rPr>
          <w:rFonts w:ascii="Verdana" w:eastAsia="Verdana" w:hAnsi="Verdana" w:cs="Verdana"/>
          <w:i/>
          <w:iCs/>
          <w:sz w:val="20"/>
          <w:szCs w:val="20"/>
        </w:rPr>
        <w:t>Influência da Abertura Econômica e da Flexibilização Cambial na Etiologia Inflacionária Brasileira Pós-1999</w:t>
      </w:r>
      <w:r>
        <w:rPr>
          <w:rFonts w:ascii="Verdana" w:eastAsia="Verdana" w:hAnsi="Verdana" w:cs="Verdana"/>
          <w:sz w:val="20"/>
          <w:szCs w:val="20"/>
        </w:rPr>
        <w:t>. Dissertação de Mestrado. Rio de Janeiro: IE-UFRJ.</w:t>
      </w:r>
    </w:p>
    <w:p w14:paraId="7B100058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Lopes</w:t>
      </w:r>
      <w:r>
        <w:rPr>
          <w:rFonts w:ascii="Verdana" w:eastAsia="Verdana" w:hAnsi="Verdana" w:cs="Verdana"/>
          <w:sz w:val="20"/>
          <w:szCs w:val="20"/>
        </w:rPr>
        <w:t xml:space="preserve">, F. (1984). “Inflação Inercial, Hiperinflação e Desinflação: notas e conjecturas”. </w:t>
      </w:r>
      <w:r>
        <w:rPr>
          <w:rFonts w:ascii="Verdana" w:eastAsia="Verdana" w:hAnsi="Verdana" w:cs="Verdana"/>
          <w:i/>
          <w:iCs/>
          <w:sz w:val="20"/>
          <w:szCs w:val="20"/>
        </w:rPr>
        <w:t>Revista da ANPEC</w:t>
      </w:r>
      <w:r>
        <w:rPr>
          <w:rFonts w:ascii="Verdana" w:eastAsia="Verdana" w:hAnsi="Verdana" w:cs="Verdana"/>
          <w:sz w:val="20"/>
          <w:szCs w:val="20"/>
        </w:rPr>
        <w:t xml:space="preserve">, Novembro. Reproduzido em F. Lopes (1986), </w:t>
      </w:r>
      <w:r>
        <w:rPr>
          <w:rFonts w:ascii="Verdana" w:eastAsia="Verdana" w:hAnsi="Verdana" w:cs="Verdana"/>
          <w:i/>
          <w:iCs/>
          <w:sz w:val="20"/>
          <w:szCs w:val="20"/>
        </w:rPr>
        <w:t>Choque Heterodoxo: combate à inflação e reforma monetária</w:t>
      </w:r>
      <w:r>
        <w:rPr>
          <w:rFonts w:ascii="Verdana" w:eastAsia="Verdana" w:hAnsi="Verdana" w:cs="Verdana"/>
          <w:sz w:val="20"/>
          <w:szCs w:val="20"/>
        </w:rPr>
        <w:t>. Rio de Janeiro: Campus, Cap. 18.</w:t>
      </w:r>
    </w:p>
    <w:p w14:paraId="2FEA1F8A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Mankiw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N. G. (1990). “A </w:t>
      </w:r>
      <w:proofErr w:type="spellStart"/>
      <w:r>
        <w:rPr>
          <w:rFonts w:ascii="Verdana" w:eastAsia="Verdana" w:hAnsi="Verdana" w:cs="Verdana"/>
          <w:sz w:val="20"/>
          <w:szCs w:val="20"/>
        </w:rPr>
        <w:t>quick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Refresher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Course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in </w:t>
      </w:r>
      <w:proofErr w:type="spellStart"/>
      <w:r>
        <w:rPr>
          <w:rFonts w:ascii="Verdana" w:eastAsia="Verdana" w:hAnsi="Verdana" w:cs="Verdana"/>
          <w:sz w:val="20"/>
          <w:szCs w:val="20"/>
        </w:rPr>
        <w:t>Macroeconomics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”.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Journal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Economic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Literature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Vol. XXVIII, </w:t>
      </w:r>
      <w:proofErr w:type="spellStart"/>
      <w:r>
        <w:rPr>
          <w:rFonts w:ascii="Verdana" w:eastAsia="Verdana" w:hAnsi="Verdana" w:cs="Verdana"/>
          <w:sz w:val="20"/>
          <w:szCs w:val="20"/>
        </w:rPr>
        <w:t>December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pp. 1645-1660. </w:t>
      </w:r>
    </w:p>
    <w:p w14:paraId="43C8B671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lastRenderedPageBreak/>
        <w:t>Messenberg</w:t>
      </w:r>
      <w:proofErr w:type="spellEnd"/>
      <w:r>
        <w:rPr>
          <w:rFonts w:ascii="Verdana" w:eastAsia="Verdana" w:hAnsi="Verdana" w:cs="Verdana"/>
          <w:sz w:val="20"/>
          <w:szCs w:val="20"/>
        </w:rPr>
        <w:t>, R. P. (1997). “Inflação e Estabilização: déficit público e taxa de juros na formulação dos programas antinflacionários no Brasil”, in Arno Meyer (Org.), Finanças Públicas: Ensaios Selecionados. Brasília: IPEA; São Paulo: Fundap, pp. 417-458.</w:t>
      </w:r>
    </w:p>
    <w:p w14:paraId="060BE791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Modenesi</w:t>
      </w:r>
      <w:r>
        <w:rPr>
          <w:rFonts w:ascii="Verdana" w:eastAsia="Verdana" w:hAnsi="Verdana" w:cs="Verdana"/>
          <w:sz w:val="20"/>
          <w:szCs w:val="20"/>
        </w:rPr>
        <w:t xml:space="preserve">, A. (2005). </w:t>
      </w:r>
      <w:r>
        <w:rPr>
          <w:rFonts w:ascii="Verdana" w:eastAsia="Verdana" w:hAnsi="Verdana" w:cs="Verdana"/>
          <w:i/>
          <w:iCs/>
          <w:sz w:val="20"/>
          <w:szCs w:val="20"/>
        </w:rPr>
        <w:t>Regimes Monetários: Teoria e Experiência do Real</w:t>
      </w:r>
      <w:r>
        <w:rPr>
          <w:rFonts w:ascii="Verdana" w:eastAsia="Verdana" w:hAnsi="Verdana" w:cs="Verdana"/>
          <w:sz w:val="20"/>
          <w:szCs w:val="20"/>
        </w:rPr>
        <w:t>. Barueri: Ed. Manole.</w:t>
      </w:r>
    </w:p>
    <w:p w14:paraId="11BF6957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Modenesi</w:t>
      </w:r>
      <w:r>
        <w:rPr>
          <w:rFonts w:ascii="Verdana" w:eastAsia="Verdana" w:hAnsi="Verdana" w:cs="Verdana"/>
          <w:sz w:val="20"/>
          <w:szCs w:val="20"/>
        </w:rPr>
        <w:t xml:space="preserve">, A. e </w:t>
      </w:r>
      <w:r>
        <w:rPr>
          <w:rFonts w:ascii="Verdana" w:eastAsia="Verdana" w:hAnsi="Verdana" w:cs="Verdana"/>
          <w:smallCaps/>
          <w:sz w:val="20"/>
          <w:szCs w:val="20"/>
        </w:rPr>
        <w:t>Araújo</w:t>
      </w:r>
      <w:r>
        <w:rPr>
          <w:rFonts w:ascii="Verdana" w:eastAsia="Verdana" w:hAnsi="Verdana" w:cs="Verdana"/>
          <w:sz w:val="20"/>
          <w:szCs w:val="20"/>
        </w:rPr>
        <w:t xml:space="preserve">, E. (2010). “A Importância do Setor Externo na Evolução do IPCA (1999-2010): uma análise com base em um modelo SVAR”. </w:t>
      </w:r>
      <w:r>
        <w:rPr>
          <w:rFonts w:ascii="Verdana" w:eastAsia="Verdana" w:hAnsi="Verdana" w:cs="Verdana"/>
          <w:i/>
          <w:iCs/>
          <w:sz w:val="20"/>
          <w:szCs w:val="20"/>
        </w:rPr>
        <w:t>Anais do 38º Encontro Nacional de Economia da ANPEC</w:t>
      </w:r>
      <w:r>
        <w:rPr>
          <w:rFonts w:ascii="Verdana" w:eastAsia="Verdana" w:hAnsi="Verdana" w:cs="Verdana"/>
          <w:sz w:val="20"/>
          <w:szCs w:val="20"/>
        </w:rPr>
        <w:t xml:space="preserve">. Salvador (BA). </w:t>
      </w:r>
    </w:p>
    <w:p w14:paraId="7738E2E7" w14:textId="77777777" w:rsidR="00575434" w:rsidRDefault="00AD5BDF">
      <w:pPr>
        <w:keepLines/>
        <w:ind w:left="567" w:hanging="567"/>
        <w:rPr>
          <w:rFonts w:ascii="Verdana" w:eastAsia="Verdana" w:hAnsi="Verdana" w:cs="Verdana"/>
          <w:smallCaps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Mollo</w:t>
      </w:r>
      <w:r>
        <w:rPr>
          <w:rFonts w:ascii="Verdana" w:eastAsia="Verdana" w:hAnsi="Verdana" w:cs="Verdana"/>
          <w:sz w:val="20"/>
          <w:szCs w:val="20"/>
        </w:rPr>
        <w:t xml:space="preserve">, M. de L. R. (1994). “As controvérsias Monetárias do Século XIX”. </w:t>
      </w:r>
      <w:r>
        <w:rPr>
          <w:rFonts w:ascii="Verdana" w:eastAsia="Verdana" w:hAnsi="Verdana" w:cs="Verdana"/>
          <w:i/>
          <w:iCs/>
          <w:sz w:val="20"/>
          <w:szCs w:val="20"/>
        </w:rPr>
        <w:t>Ensaios FEE</w:t>
      </w:r>
      <w:r>
        <w:rPr>
          <w:rFonts w:ascii="Verdana" w:eastAsia="Verdana" w:hAnsi="Verdana" w:cs="Verdana"/>
          <w:sz w:val="20"/>
          <w:szCs w:val="20"/>
        </w:rPr>
        <w:t>, (15), 1, pp. 80-97.</w:t>
      </w:r>
      <w:r>
        <w:rPr>
          <w:rFonts w:ascii="Verdana" w:eastAsia="Verdana" w:hAnsi="Verdana" w:cs="Verdana"/>
          <w:smallCaps/>
          <w:sz w:val="20"/>
          <w:szCs w:val="20"/>
        </w:rPr>
        <w:t xml:space="preserve"> </w:t>
      </w:r>
    </w:p>
    <w:p w14:paraId="5C65AFE0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Rowthorn</w:t>
      </w:r>
      <w:proofErr w:type="spellEnd"/>
      <w:r>
        <w:rPr>
          <w:rFonts w:ascii="Verdana" w:eastAsia="Verdana" w:hAnsi="Verdana" w:cs="Verdana"/>
          <w:sz w:val="20"/>
          <w:szCs w:val="20"/>
        </w:rPr>
        <w:t>, B. (1977). “</w:t>
      </w:r>
      <w:proofErr w:type="spellStart"/>
      <w:r>
        <w:rPr>
          <w:rFonts w:ascii="Verdana" w:eastAsia="Verdana" w:hAnsi="Verdana" w:cs="Verdana"/>
          <w:sz w:val="20"/>
          <w:szCs w:val="20"/>
        </w:rPr>
        <w:t>Conflict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</w:t>
      </w:r>
      <w:proofErr w:type="spellStart"/>
      <w:r>
        <w:rPr>
          <w:rFonts w:ascii="Verdana" w:eastAsia="Verdana" w:hAnsi="Verdana" w:cs="Verdana"/>
          <w:sz w:val="20"/>
          <w:szCs w:val="20"/>
        </w:rPr>
        <w:t>Inflation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Money”.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Cambridge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Journal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Economics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nº 1. Reproduzido em B. </w:t>
      </w:r>
      <w:proofErr w:type="spellStart"/>
      <w:r>
        <w:rPr>
          <w:rFonts w:ascii="Verdana" w:eastAsia="Verdana" w:hAnsi="Verdana" w:cs="Verdana"/>
          <w:sz w:val="20"/>
          <w:szCs w:val="20"/>
        </w:rPr>
        <w:t>Rowthorn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(1980), </w:t>
      </w:r>
      <w:r>
        <w:rPr>
          <w:rFonts w:ascii="Verdana" w:eastAsia="Verdana" w:hAnsi="Verdana" w:cs="Verdana"/>
          <w:i/>
          <w:iCs/>
          <w:sz w:val="20"/>
          <w:szCs w:val="20"/>
        </w:rPr>
        <w:t>Capitalismo, Conflito e Inflação: ensaios de Economia Política</w:t>
      </w:r>
      <w:r>
        <w:rPr>
          <w:rFonts w:ascii="Verdana" w:eastAsia="Verdana" w:hAnsi="Verdana" w:cs="Verdana"/>
          <w:sz w:val="20"/>
          <w:szCs w:val="20"/>
        </w:rPr>
        <w:t>. Rio de Janeiro: Zahar. Cap. 6.</w:t>
      </w:r>
    </w:p>
    <w:p w14:paraId="44191D3C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Simonsen</w:t>
      </w:r>
      <w:r>
        <w:rPr>
          <w:rFonts w:ascii="Verdana" w:eastAsia="Verdana" w:hAnsi="Verdana" w:cs="Verdana"/>
          <w:sz w:val="20"/>
          <w:szCs w:val="20"/>
        </w:rPr>
        <w:t xml:space="preserve">, M. H. (1970). </w:t>
      </w:r>
      <w:r>
        <w:rPr>
          <w:rFonts w:ascii="Verdana" w:eastAsia="Verdana" w:hAnsi="Verdana" w:cs="Verdana"/>
          <w:i/>
          <w:iCs/>
          <w:sz w:val="20"/>
          <w:szCs w:val="20"/>
        </w:rPr>
        <w:t>Inflação: Gradualismo x Tratamento de Choque</w:t>
      </w:r>
      <w:r>
        <w:rPr>
          <w:rFonts w:ascii="Verdana" w:eastAsia="Verdana" w:hAnsi="Verdana" w:cs="Verdana"/>
          <w:sz w:val="20"/>
          <w:szCs w:val="20"/>
        </w:rPr>
        <w:t>. Rio de Janeiro: APEC.</w:t>
      </w:r>
    </w:p>
    <w:p w14:paraId="1283601D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Simonsen</w:t>
      </w:r>
      <w:r>
        <w:rPr>
          <w:rFonts w:ascii="Verdana" w:eastAsia="Verdana" w:hAnsi="Verdana" w:cs="Verdana"/>
          <w:sz w:val="20"/>
          <w:szCs w:val="20"/>
        </w:rPr>
        <w:t xml:space="preserve">, M. H. (1983). </w:t>
      </w:r>
      <w:r>
        <w:rPr>
          <w:rFonts w:ascii="Verdana" w:eastAsia="Verdana" w:hAnsi="Verdana" w:cs="Verdana"/>
          <w:i/>
          <w:iCs/>
          <w:sz w:val="20"/>
          <w:szCs w:val="20"/>
        </w:rPr>
        <w:t>Dinâmica Macroeconômica</w:t>
      </w:r>
      <w:r>
        <w:rPr>
          <w:rFonts w:ascii="Verdana" w:eastAsia="Verdana" w:hAnsi="Verdana" w:cs="Verdana"/>
          <w:sz w:val="20"/>
          <w:szCs w:val="20"/>
        </w:rPr>
        <w:t>. São Paulo: McGraw-Hill. Cap. 1.</w:t>
      </w:r>
    </w:p>
    <w:p w14:paraId="550AFFCA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>Simonsen</w:t>
      </w:r>
      <w:r>
        <w:rPr>
          <w:rFonts w:ascii="Verdana" w:eastAsia="Verdana" w:hAnsi="Verdana" w:cs="Verdana"/>
          <w:sz w:val="20"/>
          <w:szCs w:val="20"/>
        </w:rPr>
        <w:t xml:space="preserve">, M. H. e </w:t>
      </w:r>
      <w:r>
        <w:rPr>
          <w:rFonts w:ascii="Verdana" w:eastAsia="Verdana" w:hAnsi="Verdana" w:cs="Verdana"/>
          <w:smallCaps/>
          <w:sz w:val="20"/>
          <w:szCs w:val="20"/>
        </w:rPr>
        <w:t>Campos</w:t>
      </w:r>
      <w:r>
        <w:rPr>
          <w:rFonts w:ascii="Verdana" w:eastAsia="Verdana" w:hAnsi="Verdana" w:cs="Verdana"/>
          <w:sz w:val="20"/>
          <w:szCs w:val="20"/>
        </w:rPr>
        <w:t xml:space="preserve">, R. de O. (1975). </w:t>
      </w:r>
      <w:r>
        <w:rPr>
          <w:rFonts w:ascii="Verdana" w:eastAsia="Verdana" w:hAnsi="Verdana" w:cs="Verdana"/>
          <w:i/>
          <w:iCs/>
          <w:sz w:val="20"/>
          <w:szCs w:val="20"/>
        </w:rPr>
        <w:t>A Nova Economia Brasileira</w:t>
      </w:r>
      <w:r>
        <w:rPr>
          <w:rFonts w:ascii="Verdana" w:eastAsia="Verdana" w:hAnsi="Verdana" w:cs="Verdana"/>
          <w:sz w:val="20"/>
          <w:szCs w:val="20"/>
        </w:rPr>
        <w:t>. Rio de Janeiro: Biblioteca do Exército Editora. Cap. 5.</w:t>
      </w:r>
    </w:p>
    <w:p w14:paraId="2203DE9F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SNOWDON, B. e VANE, H.R. (2005).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Macroeconomics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. Edward </w:t>
      </w:r>
      <w:proofErr w:type="spellStart"/>
      <w:r>
        <w:rPr>
          <w:rFonts w:ascii="Verdana" w:eastAsia="Verdana" w:hAnsi="Verdana" w:cs="Verdana"/>
          <w:sz w:val="20"/>
          <w:szCs w:val="20"/>
        </w:rPr>
        <w:t>Elgar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: </w:t>
      </w:r>
      <w:proofErr w:type="spellStart"/>
      <w:r>
        <w:rPr>
          <w:rFonts w:ascii="Verdana" w:eastAsia="Verdana" w:hAnsi="Verdana" w:cs="Verdana"/>
          <w:sz w:val="20"/>
          <w:szCs w:val="20"/>
        </w:rPr>
        <w:t>Cheltenham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(UK).</w:t>
      </w:r>
    </w:p>
    <w:p w14:paraId="0980455E" w14:textId="77777777" w:rsidR="00575434" w:rsidRDefault="00AD5BDF">
      <w:pPr>
        <w:keepLines/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smallCaps/>
          <w:color w:val="000000"/>
          <w:sz w:val="20"/>
          <w:szCs w:val="20"/>
        </w:rPr>
        <w:t>Stiglitz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J. e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Weiss</w:t>
      </w:r>
      <w:r>
        <w:rPr>
          <w:rFonts w:ascii="Verdana" w:eastAsia="Verdana" w:hAnsi="Verdana" w:cs="Verdana"/>
          <w:color w:val="000000"/>
          <w:sz w:val="20"/>
          <w:szCs w:val="20"/>
        </w:rPr>
        <w:t>, A. (1981). “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Credit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Rationing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in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Markets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with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Imperfect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Information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”. </w:t>
      </w:r>
      <w:r>
        <w:rPr>
          <w:rFonts w:ascii="Verdana" w:eastAsia="Verdana" w:hAnsi="Verdana" w:cs="Verdana"/>
          <w:i/>
          <w:iCs/>
          <w:color w:val="000000"/>
          <w:sz w:val="20"/>
          <w:szCs w:val="20"/>
        </w:rPr>
        <w:t>American Economic Review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71,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June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>, pp. 353-376.</w:t>
      </w:r>
    </w:p>
    <w:p w14:paraId="18F1E531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mallCaps/>
          <w:sz w:val="20"/>
          <w:szCs w:val="20"/>
        </w:rPr>
        <w:t xml:space="preserve">Tobin, J. </w:t>
      </w:r>
      <w:r>
        <w:rPr>
          <w:rFonts w:ascii="Verdana" w:eastAsia="Verdana" w:hAnsi="Verdana" w:cs="Verdana"/>
          <w:sz w:val="20"/>
          <w:szCs w:val="20"/>
        </w:rPr>
        <w:t>(1958). “</w:t>
      </w:r>
      <w:proofErr w:type="spellStart"/>
      <w:r>
        <w:rPr>
          <w:rFonts w:ascii="Verdana" w:eastAsia="Verdana" w:hAnsi="Verdana" w:cs="Verdana"/>
          <w:sz w:val="20"/>
          <w:szCs w:val="20"/>
        </w:rPr>
        <w:t>Liquidity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Preference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as </w:t>
      </w:r>
      <w:proofErr w:type="spellStart"/>
      <w:r>
        <w:rPr>
          <w:rFonts w:ascii="Verdana" w:eastAsia="Verdana" w:hAnsi="Verdana" w:cs="Verdana"/>
          <w:sz w:val="20"/>
          <w:szCs w:val="20"/>
        </w:rPr>
        <w:t>Behavior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sz w:val="20"/>
          <w:szCs w:val="20"/>
        </w:rPr>
        <w:t>Toward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 Risk”. </w:t>
      </w:r>
      <w:r>
        <w:rPr>
          <w:rFonts w:ascii="Verdana" w:eastAsia="Verdana" w:hAnsi="Verdana" w:cs="Verdana"/>
          <w:i/>
          <w:iCs/>
          <w:sz w:val="20"/>
          <w:szCs w:val="20"/>
        </w:rPr>
        <w:t xml:space="preserve">The Review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of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Economic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Studies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Vol. 25, n° 2, </w:t>
      </w:r>
      <w:proofErr w:type="spellStart"/>
      <w:r>
        <w:rPr>
          <w:rFonts w:ascii="Verdana" w:eastAsia="Verdana" w:hAnsi="Verdana" w:cs="Verdana"/>
          <w:sz w:val="20"/>
          <w:szCs w:val="20"/>
        </w:rPr>
        <w:t>February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pp. 65-86. </w:t>
      </w:r>
    </w:p>
    <w:p w14:paraId="12F24B91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Weintraub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S. (1961).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Classical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Keynesianism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Monetary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Theory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and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the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Price</w:t>
      </w:r>
      <w:proofErr w:type="spellEnd"/>
      <w:r>
        <w:rPr>
          <w:rFonts w:ascii="Verdana" w:eastAsia="Verdana" w:hAnsi="Verdana" w:cs="Verdana"/>
          <w:i/>
          <w:iCs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iCs/>
          <w:sz w:val="20"/>
          <w:szCs w:val="20"/>
        </w:rPr>
        <w:t>Level</w:t>
      </w:r>
      <w:proofErr w:type="spellEnd"/>
      <w:r>
        <w:rPr>
          <w:rFonts w:ascii="Verdana" w:eastAsia="Verdana" w:hAnsi="Verdana" w:cs="Verdana"/>
          <w:sz w:val="20"/>
          <w:szCs w:val="20"/>
        </w:rPr>
        <w:t>. Connecticut: Greenwood Press. Cap. 3.</w:t>
      </w:r>
    </w:p>
    <w:p w14:paraId="7449A714" w14:textId="77777777" w:rsidR="00575434" w:rsidRDefault="00AD5BDF">
      <w:pPr>
        <w:keepLines/>
        <w:ind w:left="567" w:hanging="567"/>
        <w:rPr>
          <w:rFonts w:ascii="Verdana" w:eastAsia="Verdana" w:hAnsi="Verdana" w:cs="Verdana"/>
          <w:sz w:val="20"/>
          <w:szCs w:val="20"/>
        </w:rPr>
      </w:pPr>
      <w:proofErr w:type="spellStart"/>
      <w:r>
        <w:rPr>
          <w:rFonts w:ascii="Verdana" w:eastAsia="Verdana" w:hAnsi="Verdana" w:cs="Verdana"/>
          <w:smallCaps/>
          <w:sz w:val="20"/>
          <w:szCs w:val="20"/>
        </w:rPr>
        <w:t>Wicksell</w:t>
      </w:r>
      <w:proofErr w:type="spellEnd"/>
      <w:r>
        <w:rPr>
          <w:rFonts w:ascii="Verdana" w:eastAsia="Verdana" w:hAnsi="Verdana" w:cs="Verdana"/>
          <w:sz w:val="20"/>
          <w:szCs w:val="20"/>
        </w:rPr>
        <w:t xml:space="preserve">, K. (1928/1986). </w:t>
      </w:r>
      <w:r>
        <w:rPr>
          <w:rFonts w:ascii="Verdana" w:eastAsia="Verdana" w:hAnsi="Verdana" w:cs="Verdana"/>
          <w:i/>
          <w:iCs/>
          <w:sz w:val="20"/>
          <w:szCs w:val="20"/>
        </w:rPr>
        <w:t>Lições de Economia Política</w:t>
      </w:r>
      <w:r>
        <w:rPr>
          <w:rFonts w:ascii="Verdana" w:eastAsia="Verdana" w:hAnsi="Verdana" w:cs="Verdana"/>
          <w:sz w:val="20"/>
          <w:szCs w:val="20"/>
        </w:rPr>
        <w:t>. São Paulo: Nova Cultural.</w:t>
      </w:r>
    </w:p>
    <w:p w14:paraId="489BAD51" w14:textId="77777777" w:rsidR="00575434" w:rsidRDefault="00575434"/>
    <w:sectPr w:rsidR="0057543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9597E2" w14:textId="77777777" w:rsidR="00BB4942" w:rsidRDefault="00BB4942">
      <w:r>
        <w:separator/>
      </w:r>
    </w:p>
  </w:endnote>
  <w:endnote w:type="continuationSeparator" w:id="0">
    <w:p w14:paraId="36E65462" w14:textId="77777777" w:rsidR="00BB4942" w:rsidRDefault="00BB49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9CBDB41-0385-419F-A0AE-F6286C23D0F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D49A99EF-1946-4201-BB1F-42F088AC038E}"/>
    <w:embedBold r:id="rId3" w:fontKey="{45673407-9B72-4B16-8CA6-A147C11F4A19}"/>
    <w:embedItalic r:id="rId4" w:fontKey="{108D0515-927F-4E42-9842-3FB2292126FC}"/>
    <w:embedBoldItalic r:id="rId5" w:fontKey="{9A8F846B-DB9D-47CD-95E1-3CB920BF594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52672433-6B78-4E12-B978-1C0F9054C0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25F41D8-8856-4019-AD55-2068E76946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F3C100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6984BF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D314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43AA12" w14:textId="77777777" w:rsidR="00BB4942" w:rsidRDefault="00BB4942">
      <w:r>
        <w:separator/>
      </w:r>
    </w:p>
  </w:footnote>
  <w:footnote w:type="continuationSeparator" w:id="0">
    <w:p w14:paraId="5A34A78A" w14:textId="77777777" w:rsidR="00BB4942" w:rsidRDefault="00BB4942">
      <w:r>
        <w:continuationSeparator/>
      </w:r>
    </w:p>
  </w:footnote>
  <w:footnote w:id="1">
    <w:p w14:paraId="554DFF8D" w14:textId="17638E33" w:rsidR="00575434" w:rsidRDefault="00AD5BD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® © Andre de Melo Modenesi</w:t>
      </w:r>
      <w:r w:rsidR="000F170C">
        <w:rPr>
          <w:color w:val="000000"/>
          <w:sz w:val="20"/>
          <w:szCs w:val="20"/>
        </w:rPr>
        <w:t xml:space="preserve"> e Flavia Dantas</w:t>
      </w:r>
      <w:r>
        <w:rPr>
          <w:color w:val="000000"/>
          <w:sz w:val="20"/>
          <w:szCs w:val="20"/>
        </w:rPr>
        <w:t xml:space="preserve">. Não é permita, sob nenhuma hipótese, a divulgação do material didático e das aulas nem a sua reprodução, por qualquer meio, seja digital, </w:t>
      </w:r>
      <w:r w:rsidR="00D02886">
        <w:rPr>
          <w:color w:val="000000"/>
          <w:sz w:val="20"/>
          <w:szCs w:val="20"/>
        </w:rPr>
        <w:t>impresso etc.</w:t>
      </w:r>
      <w:r>
        <w:rPr>
          <w:color w:val="000000"/>
          <w:sz w:val="20"/>
          <w:szCs w:val="20"/>
        </w:rPr>
        <w:t>, sob pena de violação art. 46, IV, da Lei nº 9.610/98.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1382A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2E7865" w14:textId="77777777" w:rsidR="00575434" w:rsidRDefault="0057543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"/>
      <w:tblW w:w="8355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373"/>
      <w:gridCol w:w="5982"/>
    </w:tblGrid>
    <w:tr w:rsidR="00575434" w14:paraId="51844AD7" w14:textId="77777777">
      <w:trPr>
        <w:trHeight w:val="983"/>
      </w:trPr>
      <w:tc>
        <w:tcPr>
          <w:tcW w:w="2373" w:type="dxa"/>
        </w:tcPr>
        <w:p w14:paraId="28CD670D" w14:textId="77777777" w:rsidR="00575434" w:rsidRDefault="00AD5BD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Verdana" w:eastAsia="Verdana" w:hAnsi="Verdana" w:cs="Verdana"/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D4CA721" wp14:editId="70B47088">
                <wp:extent cx="1139139" cy="591019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9139" cy="59101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82" w:type="dxa"/>
          <w:vAlign w:val="center"/>
        </w:tcPr>
        <w:p w14:paraId="6AF72594" w14:textId="352473CB" w:rsidR="00575434" w:rsidRDefault="00AD5BDF">
          <w:pPr>
            <w:rPr>
              <w:rFonts w:ascii="Verdana" w:eastAsia="Verdana" w:hAnsi="Verdana" w:cs="Verdana"/>
              <w:b/>
              <w:bCs/>
              <w:sz w:val="20"/>
              <w:szCs w:val="20"/>
            </w:rPr>
          </w:pPr>
          <w:r>
            <w:rPr>
              <w:rFonts w:ascii="Verdana" w:eastAsia="Verdana" w:hAnsi="Verdana" w:cs="Verdana"/>
              <w:b/>
              <w:bCs/>
              <w:sz w:val="20"/>
              <w:szCs w:val="20"/>
            </w:rPr>
            <w:t>20</w:t>
          </w:r>
          <w:r w:rsidR="008945BD">
            <w:rPr>
              <w:rFonts w:ascii="Verdana" w:eastAsia="Verdana" w:hAnsi="Verdana" w:cs="Verdana"/>
              <w:b/>
              <w:bCs/>
              <w:sz w:val="20"/>
              <w:szCs w:val="20"/>
            </w:rPr>
            <w:t>2</w:t>
          </w:r>
          <w:r w:rsidR="00F0203A">
            <w:rPr>
              <w:rFonts w:ascii="Verdana" w:eastAsia="Verdana" w:hAnsi="Verdana" w:cs="Verdana"/>
              <w:b/>
              <w:bCs/>
              <w:sz w:val="20"/>
              <w:szCs w:val="20"/>
            </w:rPr>
            <w:t>6</w:t>
          </w:r>
          <w:r>
            <w:rPr>
              <w:rFonts w:ascii="Verdana" w:eastAsia="Verdana" w:hAnsi="Verdana" w:cs="Verdana"/>
              <w:b/>
              <w:bCs/>
              <w:sz w:val="20"/>
              <w:szCs w:val="20"/>
            </w:rPr>
            <w:t xml:space="preserve"> -2</w:t>
          </w:r>
        </w:p>
        <w:p w14:paraId="26699707" w14:textId="527AF55B" w:rsidR="00575434" w:rsidRPr="008945BD" w:rsidRDefault="00AD5BDF">
          <w:pPr>
            <w:rPr>
              <w:rFonts w:ascii="Verdana" w:eastAsia="Verdana" w:hAnsi="Verdana" w:cs="Verdana"/>
              <w:b/>
              <w:bCs/>
              <w:sz w:val="20"/>
              <w:szCs w:val="20"/>
            </w:rPr>
          </w:pPr>
          <w:bookmarkStart w:id="2" w:name="_heading=h.71u6w1hrbbqv" w:colFirst="0" w:colLast="0"/>
          <w:bookmarkEnd w:id="2"/>
          <w:r>
            <w:rPr>
              <w:rFonts w:ascii="Verdana" w:eastAsia="Verdana" w:hAnsi="Verdana" w:cs="Verdana"/>
              <w:b/>
              <w:bCs/>
              <w:sz w:val="20"/>
              <w:szCs w:val="20"/>
            </w:rPr>
            <w:t>IEE-855 – Economia Monetária I</w:t>
          </w:r>
          <w:r w:rsidR="008945BD" w:rsidRPr="008945BD">
            <w:rPr>
              <w:rFonts w:ascii="Verdana" w:eastAsia="Verdana" w:hAnsi="Verdana" w:cs="Verdana"/>
              <w:sz w:val="20"/>
              <w:szCs w:val="20"/>
            </w:rPr>
            <w:t xml:space="preserve"> </w:t>
          </w:r>
        </w:p>
        <w:p w14:paraId="3BD3AF8D" w14:textId="2D1D743B" w:rsidR="00575434" w:rsidRDefault="00AD5BD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Verdana" w:eastAsia="Verdana" w:hAnsi="Verdana" w:cs="Verdana"/>
              <w:b/>
              <w:bCs/>
              <w:color w:val="000000"/>
              <w:sz w:val="20"/>
              <w:szCs w:val="20"/>
            </w:rPr>
          </w:pPr>
          <w:r>
            <w:rPr>
              <w:rFonts w:ascii="Verdana" w:eastAsia="Verdana" w:hAnsi="Verdana" w:cs="Verdana"/>
              <w:b/>
              <w:bCs/>
              <w:color w:val="000000"/>
              <w:sz w:val="20"/>
              <w:szCs w:val="20"/>
            </w:rPr>
            <w:t xml:space="preserve">Prof. André de Melo </w:t>
          </w:r>
          <w:proofErr w:type="spellStart"/>
          <w:r>
            <w:rPr>
              <w:rFonts w:ascii="Verdana" w:eastAsia="Verdana" w:hAnsi="Verdana" w:cs="Verdana"/>
              <w:b/>
              <w:bCs/>
              <w:color w:val="000000"/>
              <w:sz w:val="20"/>
              <w:szCs w:val="20"/>
            </w:rPr>
            <w:t>Modenesi</w:t>
          </w:r>
          <w:proofErr w:type="spellEnd"/>
        </w:p>
        <w:p w14:paraId="43027D0E" w14:textId="52239041" w:rsidR="00575434" w:rsidRDefault="005754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Verdana" w:eastAsia="Verdana" w:hAnsi="Verdana" w:cs="Verdana"/>
              <w:b/>
              <w:bCs/>
              <w:color w:val="000000"/>
              <w:sz w:val="20"/>
              <w:szCs w:val="20"/>
            </w:rPr>
          </w:pPr>
        </w:p>
      </w:tc>
    </w:tr>
  </w:tbl>
  <w:p w14:paraId="5B380241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3D860" w14:textId="77777777" w:rsidR="00575434" w:rsidRDefault="0057543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A7FAD"/>
    <w:multiLevelType w:val="multilevel"/>
    <w:tmpl w:val="E256897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87468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5434"/>
    <w:rsid w:val="000F170C"/>
    <w:rsid w:val="00575434"/>
    <w:rsid w:val="00593C81"/>
    <w:rsid w:val="0063471A"/>
    <w:rsid w:val="008945BD"/>
    <w:rsid w:val="00936CF2"/>
    <w:rsid w:val="009B63F7"/>
    <w:rsid w:val="00AD5BDF"/>
    <w:rsid w:val="00B44A08"/>
    <w:rsid w:val="00BB4942"/>
    <w:rsid w:val="00D02886"/>
    <w:rsid w:val="00F02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BEC691"/>
  <w15:docId w15:val="{99E628EE-D6D4-4025-95AE-D911414C1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both"/>
      <w:outlineLvl w:val="0"/>
    </w:pPr>
    <w:rPr>
      <w:b/>
      <w:bCs/>
      <w:sz w:val="22"/>
      <w:szCs w:val="2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JoY9eu5SOEtUHuyFg/boHBHbjg==">CgMxLjAyDmgucHE5eGV6eWxoMjFsMg5oLmF2NXI0MHFjeDIxaDIOaC43MXU2dzFocmJicXY4AHIhMUZqb09ONjRKRFRfdEJsTEpSQzdGTnlnLS1sSzlWcGRT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1915</Words>
  <Characters>10347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</cp:lastModifiedBy>
  <cp:revision>5</cp:revision>
  <cp:lastPrinted>2026-07-09T16:18:00Z</cp:lastPrinted>
  <dcterms:created xsi:type="dcterms:W3CDTF">2026-07-09T16:25:00Z</dcterms:created>
  <dcterms:modified xsi:type="dcterms:W3CDTF">2026-07-10T01:39:00Z</dcterms:modified>
</cp:coreProperties>
</file>